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305201147"/>
        <w:docPartObj>
          <w:docPartGallery w:val="Cover Pages"/>
          <w:docPartUnique/>
        </w:docPartObj>
      </w:sdtPr>
      <w:sdtEndPr>
        <w:rPr>
          <w:rFonts w:ascii="Microsoft Sans Serif" w:hAnsi="Microsoft Sans Serif" w:cs="Microsoft Sans Serif"/>
          <w:sz w:val="22"/>
          <w:szCs w:val="22"/>
        </w:rPr>
      </w:sdtEndPr>
      <w:sdtContent>
        <w:p w14:paraId="46787ADD" w14:textId="42747779" w:rsidR="006454A4" w:rsidRPr="0012026D" w:rsidRDefault="006454A4" w:rsidP="00130569">
          <w:pPr>
            <w:rPr>
              <w:rFonts w:ascii="Arial" w:hAnsi="Arial" w:cs="Arial"/>
              <w:sz w:val="24"/>
              <w:szCs w:val="24"/>
            </w:rPr>
          </w:pPr>
        </w:p>
        <w:p w14:paraId="170E3D04" w14:textId="77777777" w:rsidR="006454A4" w:rsidRPr="0012026D" w:rsidRDefault="006454A4" w:rsidP="00F952AC">
          <w:pPr>
            <w:ind w:right="23" w:firstLine="567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12026D">
            <w:rPr>
              <w:rFonts w:ascii="Arial" w:hAnsi="Arial" w:cs="Arial"/>
              <w:b/>
              <w:sz w:val="24"/>
              <w:szCs w:val="24"/>
            </w:rPr>
            <w:t>“Azərpoçt” Məhdud Məsuliyyətli Cəmiyyətinin</w:t>
          </w:r>
        </w:p>
        <w:p w14:paraId="184775EE" w14:textId="11FB4195" w:rsidR="006454A4" w:rsidRPr="0012026D" w:rsidRDefault="006454A4" w:rsidP="00F952AC">
          <w:pPr>
            <w:ind w:right="23" w:firstLine="567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12026D">
            <w:rPr>
              <w:rFonts w:ascii="Arial" w:hAnsi="Arial" w:cs="Arial"/>
              <w:b/>
              <w:sz w:val="24"/>
              <w:szCs w:val="24"/>
            </w:rPr>
            <w:t xml:space="preserve">İdarə heyətinin </w:t>
          </w:r>
          <w:r>
            <w:rPr>
              <w:rFonts w:ascii="Arial" w:hAnsi="Arial" w:cs="Arial"/>
              <w:b/>
              <w:sz w:val="24"/>
              <w:szCs w:val="24"/>
            </w:rPr>
            <w:t>25.09.</w:t>
          </w:r>
          <w:r w:rsidRPr="0012026D">
            <w:rPr>
              <w:rFonts w:ascii="Arial" w:hAnsi="Arial" w:cs="Arial"/>
              <w:b/>
              <w:sz w:val="24"/>
              <w:szCs w:val="24"/>
            </w:rPr>
            <w:t>2023-cü il tarixli</w:t>
          </w:r>
        </w:p>
        <w:p w14:paraId="0883FD23" w14:textId="78E8B2C2" w:rsidR="006454A4" w:rsidRPr="0012026D" w:rsidRDefault="006454A4" w:rsidP="00F952AC">
          <w:pPr>
            <w:ind w:right="23" w:firstLine="567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005/2023</w:t>
          </w:r>
          <w:r w:rsidRPr="0012026D">
            <w:rPr>
              <w:rFonts w:ascii="Arial" w:hAnsi="Arial" w:cs="Arial"/>
              <w:b/>
              <w:sz w:val="24"/>
              <w:szCs w:val="24"/>
            </w:rPr>
            <w:t xml:space="preserve"> saylı iclas protokolu ilə</w:t>
          </w:r>
        </w:p>
        <w:p w14:paraId="4A92DABE" w14:textId="77777777" w:rsidR="006454A4" w:rsidRPr="0012026D" w:rsidRDefault="006454A4" w:rsidP="00F952AC">
          <w:pPr>
            <w:ind w:right="23" w:firstLine="567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12026D">
            <w:rPr>
              <w:rFonts w:ascii="Arial" w:hAnsi="Arial" w:cs="Arial"/>
              <w:b/>
              <w:sz w:val="24"/>
              <w:szCs w:val="24"/>
            </w:rPr>
            <w:t>təsdiq edilmişdir.</w:t>
          </w:r>
        </w:p>
        <w:p w14:paraId="7EDE793F" w14:textId="77777777" w:rsidR="006454A4" w:rsidRPr="0012026D" w:rsidRDefault="006454A4" w:rsidP="00F952AC">
          <w:pPr>
            <w:ind w:right="23" w:firstLine="567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14:paraId="37DE5801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7E2EA6A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747CC5D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877B5D1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3870F4E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F631141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699D65D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6C1690E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4E80B8F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510661C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12A0EFF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58E29C6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49E5624D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FF907D9" w14:textId="09D88CC5" w:rsidR="006454A4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39D2201" w14:textId="4E2E624B" w:rsidR="006454A4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47DC098" w14:textId="47526FE5" w:rsidR="006454A4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409B7484" w14:textId="26D1BB01" w:rsidR="006454A4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6FFE10A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FAF14E8" w14:textId="65FF3912" w:rsidR="006454A4" w:rsidRPr="006454A4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32"/>
              <w:szCs w:val="28"/>
            </w:rPr>
          </w:pPr>
          <w:r w:rsidRPr="006454A4">
            <w:rPr>
              <w:rFonts w:ascii="Arial" w:hAnsi="Arial" w:cs="Arial"/>
              <w:b/>
              <w:sz w:val="32"/>
              <w:szCs w:val="28"/>
            </w:rPr>
            <w:t>“Azərpoçt” Məhdud Məsuliyyətli Cəmiyyəti</w:t>
          </w:r>
        </w:p>
        <w:p w14:paraId="360A234A" w14:textId="77777777" w:rsidR="006454A4" w:rsidRPr="006454A4" w:rsidRDefault="006454A4" w:rsidP="006454A4">
          <w:pPr>
            <w:ind w:right="23" w:firstLine="567"/>
            <w:jc w:val="center"/>
            <w:rPr>
              <w:rFonts w:ascii="Arial" w:hAnsi="Arial" w:cs="Arial"/>
              <w:b/>
              <w:sz w:val="32"/>
              <w:szCs w:val="28"/>
            </w:rPr>
          </w:pPr>
          <w:r w:rsidRPr="006454A4">
            <w:rPr>
              <w:rFonts w:ascii="Arial" w:hAnsi="Arial" w:cs="Arial"/>
              <w:b/>
              <w:sz w:val="32"/>
              <w:szCs w:val="28"/>
            </w:rPr>
            <w:t xml:space="preserve">tərəfindən emissiya edilən ödəniş kartları üzrə </w:t>
          </w:r>
        </w:p>
        <w:p w14:paraId="08B6ABD6" w14:textId="3DF8925E" w:rsidR="006454A4" w:rsidRPr="006454A4" w:rsidRDefault="006454A4" w:rsidP="006454A4">
          <w:pPr>
            <w:ind w:right="23" w:firstLine="567"/>
            <w:jc w:val="center"/>
            <w:rPr>
              <w:rFonts w:ascii="Arial" w:hAnsi="Arial" w:cs="Arial"/>
              <w:b/>
              <w:sz w:val="32"/>
              <w:szCs w:val="28"/>
            </w:rPr>
          </w:pPr>
          <w:r w:rsidRPr="006454A4">
            <w:rPr>
              <w:rFonts w:ascii="Arial" w:hAnsi="Arial" w:cs="Arial"/>
              <w:b/>
              <w:sz w:val="32"/>
              <w:szCs w:val="28"/>
            </w:rPr>
            <w:t>məhdudiyyətlər (limitlər) və qadağalar</w:t>
          </w:r>
        </w:p>
        <w:p w14:paraId="62EAF0F4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A2AB407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3496642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1E4B32A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DBA2D26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A62E1F2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E82E445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E7BFF5D" w14:textId="121EBD6E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4055EFAA" w14:textId="3BD82A45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6EDA66EA" w14:textId="4BAB14A5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7D43DEAC" w14:textId="2FC2596E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4DEDAEFF" w14:textId="325F44E7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0BE32AB6" w14:textId="24EA44F6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4A6457B9" w14:textId="0686438E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67DA4EEA" w14:textId="3D1246EB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01376C08" w14:textId="46382D65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74326843" w14:textId="4CD6BF36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6572519B" w14:textId="6DB1A316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52CA85E4" w14:textId="3E7F6241" w:rsidR="006454A4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37E93D11" w14:textId="77777777" w:rsidR="006454A4" w:rsidRPr="0012026D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16005387" w14:textId="77777777" w:rsidR="006454A4" w:rsidRPr="0012026D" w:rsidRDefault="006454A4" w:rsidP="00F952AC">
          <w:pPr>
            <w:ind w:right="23" w:firstLine="567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591131F" w14:textId="77777777" w:rsidR="006454A4" w:rsidRPr="0012026D" w:rsidRDefault="006454A4" w:rsidP="00F952AC">
          <w:pPr>
            <w:ind w:right="23" w:firstLine="567"/>
            <w:rPr>
              <w:rFonts w:ascii="Arial" w:hAnsi="Arial" w:cs="Arial"/>
              <w:b/>
              <w:sz w:val="24"/>
              <w:szCs w:val="24"/>
            </w:rPr>
          </w:pPr>
        </w:p>
        <w:p w14:paraId="49976520" w14:textId="77777777" w:rsidR="006454A4" w:rsidRPr="0012026D" w:rsidRDefault="006454A4" w:rsidP="00F952AC">
          <w:pPr>
            <w:ind w:right="23" w:firstLine="567"/>
            <w:rPr>
              <w:rFonts w:ascii="Arial" w:hAnsi="Arial" w:cs="Arial"/>
              <w:b/>
              <w:sz w:val="28"/>
              <w:szCs w:val="24"/>
            </w:rPr>
          </w:pPr>
        </w:p>
        <w:p w14:paraId="500F66CC" w14:textId="77777777" w:rsidR="006454A4" w:rsidRPr="006454A4" w:rsidRDefault="006454A4" w:rsidP="00F952AC">
          <w:pPr>
            <w:pStyle w:val="a5"/>
            <w:spacing w:line="276" w:lineRule="auto"/>
            <w:ind w:left="0" w:right="23" w:firstLine="567"/>
            <w:jc w:val="center"/>
            <w:rPr>
              <w:rFonts w:ascii="Arial" w:hAnsi="Arial" w:cs="Arial"/>
              <w:b/>
              <w:bCs/>
              <w:sz w:val="28"/>
              <w:szCs w:val="24"/>
              <w:lang w:val="az-Latn-AZ"/>
            </w:rPr>
          </w:pPr>
          <w:r w:rsidRPr="006454A4">
            <w:rPr>
              <w:rFonts w:ascii="Arial" w:hAnsi="Arial" w:cs="Arial"/>
              <w:b/>
              <w:bCs/>
              <w:sz w:val="28"/>
              <w:szCs w:val="24"/>
              <w:lang w:val="az-Latn-AZ"/>
            </w:rPr>
            <w:t>2023</w:t>
          </w:r>
        </w:p>
        <w:p w14:paraId="5F792B21" w14:textId="79E788B5" w:rsidR="006454A4" w:rsidRDefault="006454A4">
          <w:pPr>
            <w:rPr>
              <w:rFonts w:ascii="Arial" w:eastAsia="Arial" w:hAnsi="Arial" w:cs="Arial"/>
              <w:b/>
              <w:bCs/>
              <w:sz w:val="28"/>
              <w:szCs w:val="28"/>
            </w:rPr>
          </w:pPr>
          <w:r>
            <w:br w:type="page"/>
          </w:r>
        </w:p>
      </w:sdtContent>
    </w:sdt>
    <w:p w14:paraId="6EF83B0D" w14:textId="4BCBAB58" w:rsidR="00B343CD" w:rsidRDefault="0062675C" w:rsidP="00FA7D18">
      <w:pPr>
        <w:pStyle w:val="a4"/>
        <w:spacing w:before="60"/>
        <w:ind w:firstLine="70"/>
      </w:pPr>
      <w:r>
        <w:lastRenderedPageBreak/>
        <w:t>«Azərpoçt» MMC tərəfindən emissiya edilən ödəniş kartları</w:t>
      </w:r>
      <w:r w:rsidR="00A51A87">
        <w:t xml:space="preserve"> üzrə </w:t>
      </w:r>
    </w:p>
    <w:p w14:paraId="43FE4275" w14:textId="77777777" w:rsidR="00B343CD" w:rsidRPr="00A51A87" w:rsidRDefault="0062675C" w:rsidP="00FA7D18">
      <w:pPr>
        <w:pStyle w:val="a4"/>
        <w:spacing w:before="60"/>
        <w:ind w:firstLine="70"/>
      </w:pPr>
      <w:r w:rsidRPr="00A51A87">
        <w:t>məhdudiyyətlər (limitlər) və</w:t>
      </w:r>
      <w:r w:rsidR="00A51A87" w:rsidRPr="00A51A87">
        <w:t xml:space="preserve"> </w:t>
      </w:r>
      <w:r w:rsidRPr="00A51A87">
        <w:t>qadağalar</w:t>
      </w:r>
    </w:p>
    <w:p w14:paraId="0C48492A" w14:textId="77777777" w:rsidR="00EC6F17" w:rsidRDefault="00EC6F17" w:rsidP="00FA7D18">
      <w:pPr>
        <w:pStyle w:val="a4"/>
        <w:ind w:left="2963" w:right="2979"/>
      </w:pPr>
    </w:p>
    <w:p w14:paraId="4C2B8EBF" w14:textId="77777777" w:rsidR="00B343CD" w:rsidRDefault="00B343CD" w:rsidP="00FA7D18">
      <w:pPr>
        <w:pStyle w:val="a3"/>
        <w:spacing w:before="1"/>
        <w:rPr>
          <w:rFonts w:ascii="Arial"/>
          <w:b/>
          <w:sz w:val="16"/>
        </w:rPr>
      </w:pPr>
    </w:p>
    <w:p w14:paraId="3E1021F5" w14:textId="3414A125" w:rsidR="00B343CD" w:rsidRDefault="00A51A87" w:rsidP="00FA7D18">
      <w:pPr>
        <w:pStyle w:val="1"/>
        <w:numPr>
          <w:ilvl w:val="0"/>
          <w:numId w:val="2"/>
        </w:numPr>
        <w:ind w:left="749" w:hanging="323"/>
        <w:jc w:val="left"/>
      </w:pPr>
      <w:r>
        <w:t>Cəmiyyətə</w:t>
      </w:r>
      <w:r w:rsidR="00EF3D29" w:rsidRPr="00A51A87">
        <w:t xml:space="preserve"> </w:t>
      </w:r>
      <w:r w:rsidR="00EF3D29" w:rsidRPr="00A51A87">
        <w:rPr>
          <w:lang w:val="az-Latn-AZ"/>
        </w:rPr>
        <w:t>məxsus</w:t>
      </w:r>
      <w:r w:rsidR="00EC6F17">
        <w:t xml:space="preserve"> </w:t>
      </w:r>
      <w:r w:rsidR="00EF3D29" w:rsidRPr="00A51A87">
        <w:t xml:space="preserve"> </w:t>
      </w:r>
      <w:r w:rsidR="00EF3D29">
        <w:t>terminal</w:t>
      </w:r>
      <w:r w:rsidR="00EF3D29" w:rsidRPr="00A51A87">
        <w:t xml:space="preserve"> </w:t>
      </w:r>
      <w:r w:rsidR="00EF3D29">
        <w:t>şəbəkəsində</w:t>
      </w:r>
      <w:r w:rsidR="00EF3D29" w:rsidRPr="00A51A87">
        <w:t xml:space="preserve"> </w:t>
      </w:r>
      <w:r w:rsidR="00EF3D29">
        <w:t>əməliyyat</w:t>
      </w:r>
      <w:r w:rsidR="00EF3D29" w:rsidRPr="00A51A87">
        <w:t xml:space="preserve"> </w:t>
      </w:r>
      <w:r w:rsidR="00EF3D29">
        <w:t>həyata</w:t>
      </w:r>
      <w:r w:rsidR="00EF3D29" w:rsidRPr="00A51A87">
        <w:t xml:space="preserve"> </w:t>
      </w:r>
      <w:r w:rsidR="00EF3D29">
        <w:t>keçirilərkən</w:t>
      </w:r>
      <w:r w:rsidR="0062675C">
        <w:t xml:space="preserve"> tətbiq edilən</w:t>
      </w:r>
      <w:r w:rsidR="000A6C11" w:rsidRPr="00A51A87">
        <w:t xml:space="preserve"> </w:t>
      </w:r>
      <w:r w:rsidR="0062675C" w:rsidRPr="00EC6F17">
        <w:t>birdəfəlik</w:t>
      </w:r>
      <w:r w:rsidR="0062675C" w:rsidRPr="00A51A87">
        <w:t xml:space="preserve"> </w:t>
      </w:r>
      <w:r w:rsidR="0062675C" w:rsidRPr="00EC6F17">
        <w:t>limitlər</w:t>
      </w:r>
      <w:r w:rsidR="0062675C" w:rsidRPr="00A51A87">
        <w:t xml:space="preserve"> </w:t>
      </w:r>
    </w:p>
    <w:p w14:paraId="1AB7BC15" w14:textId="55C552CC" w:rsidR="00A51A87" w:rsidRPr="00A51A87" w:rsidRDefault="00A51A87" w:rsidP="00FA7D18">
      <w:pPr>
        <w:pStyle w:val="a5"/>
        <w:widowControl/>
        <w:numPr>
          <w:ilvl w:val="1"/>
          <w:numId w:val="13"/>
        </w:numPr>
        <w:tabs>
          <w:tab w:val="left" w:pos="1276"/>
        </w:tabs>
        <w:autoSpaceDE/>
        <w:autoSpaceDN/>
        <w:spacing w:before="120" w:after="120"/>
        <w:ind w:left="0" w:right="0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A51A87">
        <w:rPr>
          <w:rFonts w:ascii="Arial" w:hAnsi="Arial" w:cs="Arial"/>
          <w:sz w:val="24"/>
          <w:szCs w:val="24"/>
          <w:lang w:val="az-Latn-AZ"/>
        </w:rPr>
        <w:t>Limitlər valyuta</w:t>
      </w:r>
      <w:r w:rsidR="00822F84">
        <w:rPr>
          <w:rFonts w:ascii="Arial" w:hAnsi="Arial" w:cs="Arial"/>
          <w:sz w:val="24"/>
          <w:szCs w:val="24"/>
          <w:lang w:val="az-Latn-AZ"/>
        </w:rPr>
        <w:t>lar</w:t>
      </w:r>
      <w:r w:rsidRPr="00A51A87">
        <w:rPr>
          <w:rFonts w:ascii="Arial" w:hAnsi="Arial" w:cs="Arial"/>
          <w:sz w:val="24"/>
          <w:szCs w:val="24"/>
          <w:lang w:val="az-Latn-AZ"/>
        </w:rPr>
        <w:t xml:space="preserve"> üzrə </w:t>
      </w:r>
      <w:r>
        <w:rPr>
          <w:rFonts w:ascii="Arial" w:hAnsi="Arial" w:cs="Arial"/>
          <w:sz w:val="24"/>
          <w:szCs w:val="24"/>
          <w:lang w:val="az-Latn-AZ"/>
        </w:rPr>
        <w:t xml:space="preserve">aşağıdakı </w:t>
      </w:r>
      <w:r w:rsidRPr="00A51A87">
        <w:rPr>
          <w:rFonts w:ascii="Arial" w:hAnsi="Arial" w:cs="Arial"/>
          <w:sz w:val="24"/>
          <w:szCs w:val="24"/>
          <w:lang w:val="az-Latn-AZ"/>
        </w:rPr>
        <w:t>cədvəl</w:t>
      </w:r>
      <w:r>
        <w:rPr>
          <w:rFonts w:ascii="Arial" w:hAnsi="Arial" w:cs="Arial"/>
          <w:sz w:val="24"/>
          <w:szCs w:val="24"/>
          <w:lang w:val="az-Latn-AZ"/>
        </w:rPr>
        <w:t xml:space="preserve">ə uyğun müəyyən edilir. </w:t>
      </w: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3"/>
        <w:gridCol w:w="3232"/>
        <w:gridCol w:w="3500"/>
      </w:tblGrid>
      <w:tr w:rsidR="00845FBE" w14:paraId="1B294B87" w14:textId="77777777" w:rsidTr="00C9065F">
        <w:trPr>
          <w:trHeight w:val="301"/>
          <w:jc w:val="center"/>
        </w:trPr>
        <w:tc>
          <w:tcPr>
            <w:tcW w:w="1605" w:type="pct"/>
          </w:tcPr>
          <w:p w14:paraId="15B72A6D" w14:textId="77777777" w:rsidR="00B343CD" w:rsidRPr="006F3250" w:rsidRDefault="006F3250" w:rsidP="00FA7D18">
            <w:pPr>
              <w:pStyle w:val="TableParagraph"/>
              <w:spacing w:line="240" w:lineRule="auto"/>
              <w:ind w:left="18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Ə</w:t>
            </w:r>
            <w:r w:rsidR="0062675C" w:rsidRPr="006F3250">
              <w:rPr>
                <w:b/>
                <w:sz w:val="24"/>
              </w:rPr>
              <w:t>məliyyatın</w:t>
            </w:r>
            <w:r w:rsidR="0062675C" w:rsidRPr="006F3250">
              <w:rPr>
                <w:b/>
                <w:spacing w:val="4"/>
                <w:sz w:val="24"/>
              </w:rPr>
              <w:t xml:space="preserve"> </w:t>
            </w:r>
            <w:r w:rsidR="0062675C" w:rsidRPr="006F3250">
              <w:rPr>
                <w:b/>
                <w:sz w:val="24"/>
              </w:rPr>
              <w:t>tipi</w:t>
            </w:r>
          </w:p>
        </w:tc>
        <w:tc>
          <w:tcPr>
            <w:tcW w:w="1630" w:type="pct"/>
          </w:tcPr>
          <w:p w14:paraId="2EE3654D" w14:textId="77777777" w:rsidR="00B343CD" w:rsidRPr="006F3250" w:rsidRDefault="0062675C" w:rsidP="00FA7D18">
            <w:pPr>
              <w:pStyle w:val="TableParagraph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6F3250">
              <w:rPr>
                <w:b/>
                <w:sz w:val="24"/>
              </w:rPr>
              <w:t>ATM</w:t>
            </w:r>
          </w:p>
        </w:tc>
        <w:tc>
          <w:tcPr>
            <w:tcW w:w="1765" w:type="pct"/>
          </w:tcPr>
          <w:p w14:paraId="64B1FC4F" w14:textId="52299277" w:rsidR="00B343CD" w:rsidRPr="006F3250" w:rsidRDefault="0062675C" w:rsidP="00FA7D18">
            <w:pPr>
              <w:pStyle w:val="TableParagraph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6F3250">
              <w:rPr>
                <w:b/>
                <w:sz w:val="24"/>
              </w:rPr>
              <w:t>POS</w:t>
            </w:r>
            <w:r w:rsidR="00845FBE">
              <w:rPr>
                <w:b/>
                <w:sz w:val="24"/>
              </w:rPr>
              <w:t xml:space="preserve"> </w:t>
            </w:r>
            <w:proofErr w:type="spellStart"/>
            <w:r w:rsidR="00845FBE">
              <w:rPr>
                <w:b/>
                <w:sz w:val="24"/>
              </w:rPr>
              <w:t>Cash</w:t>
            </w:r>
            <w:proofErr w:type="spellEnd"/>
          </w:p>
        </w:tc>
      </w:tr>
      <w:tr w:rsidR="00845FBE" w14:paraId="189BCEC8" w14:textId="77777777" w:rsidTr="00C9065F">
        <w:trPr>
          <w:trHeight w:val="302"/>
          <w:jc w:val="center"/>
        </w:trPr>
        <w:tc>
          <w:tcPr>
            <w:tcW w:w="1605" w:type="pct"/>
          </w:tcPr>
          <w:p w14:paraId="0AAE9E0E" w14:textId="056913FF" w:rsidR="00B343CD" w:rsidRPr="00A51A87" w:rsidRDefault="001E75BD" w:rsidP="00FA7D18">
            <w:pPr>
              <w:pStyle w:val="TableParagraph"/>
              <w:spacing w:before="9" w:line="240" w:lineRule="auto"/>
              <w:ind w:left="188" w:right="181"/>
              <w:jc w:val="left"/>
              <w:rPr>
                <w:sz w:val="24"/>
                <w:szCs w:val="24"/>
              </w:rPr>
            </w:pPr>
            <w:proofErr w:type="spellStart"/>
            <w:r w:rsidRPr="00A51A87">
              <w:rPr>
                <w:sz w:val="24"/>
                <w:szCs w:val="24"/>
              </w:rPr>
              <w:t>Millikart</w:t>
            </w:r>
            <w:proofErr w:type="spellEnd"/>
            <w:r w:rsidRPr="00A51A87">
              <w:rPr>
                <w:sz w:val="24"/>
                <w:szCs w:val="24"/>
              </w:rPr>
              <w:t xml:space="preserve"> şəbəkəsində xidmət olunan bankların emissiya etdiyi kartlar</w:t>
            </w:r>
          </w:p>
        </w:tc>
        <w:tc>
          <w:tcPr>
            <w:tcW w:w="1630" w:type="pct"/>
            <w:vAlign w:val="center"/>
          </w:tcPr>
          <w:p w14:paraId="67F2309D" w14:textId="0C1AC878" w:rsidR="00B343CD" w:rsidRPr="00C9065F" w:rsidRDefault="0062675C" w:rsidP="00C9065F">
            <w:pPr>
              <w:pStyle w:val="TableParagraph"/>
              <w:spacing w:before="14"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1000</w:t>
            </w:r>
            <w:r w:rsidR="00B6713A" w:rsidRPr="00C9065F">
              <w:rPr>
                <w:sz w:val="20"/>
                <w:szCs w:val="20"/>
              </w:rPr>
              <w:t>AZN/600USD/500AVRO</w:t>
            </w:r>
          </w:p>
        </w:tc>
        <w:tc>
          <w:tcPr>
            <w:tcW w:w="1765" w:type="pct"/>
            <w:vAlign w:val="center"/>
          </w:tcPr>
          <w:p w14:paraId="513FD359" w14:textId="4F5B1795" w:rsidR="00B343CD" w:rsidRPr="00C9065F" w:rsidRDefault="00B6713A" w:rsidP="00C9065F">
            <w:pPr>
              <w:pStyle w:val="TableParagraph"/>
              <w:spacing w:before="14"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20</w:t>
            </w:r>
            <w:r w:rsidR="0062675C" w:rsidRPr="00C9065F">
              <w:rPr>
                <w:sz w:val="20"/>
                <w:szCs w:val="20"/>
              </w:rPr>
              <w:t>00</w:t>
            </w:r>
            <w:r w:rsidRPr="00C9065F">
              <w:rPr>
                <w:sz w:val="20"/>
                <w:szCs w:val="20"/>
              </w:rPr>
              <w:t>AZN/</w:t>
            </w:r>
            <w:r w:rsidR="00845FBE" w:rsidRPr="00C9065F">
              <w:rPr>
                <w:sz w:val="20"/>
                <w:szCs w:val="20"/>
              </w:rPr>
              <w:t>1000USD/1</w:t>
            </w:r>
            <w:r w:rsidR="00C9065F" w:rsidRPr="00C9065F">
              <w:rPr>
                <w:sz w:val="20"/>
                <w:szCs w:val="20"/>
              </w:rPr>
              <w:t>000</w:t>
            </w:r>
            <w:r w:rsidR="00845FBE" w:rsidRPr="00C9065F">
              <w:rPr>
                <w:sz w:val="20"/>
                <w:szCs w:val="20"/>
              </w:rPr>
              <w:t>AVRO</w:t>
            </w:r>
          </w:p>
        </w:tc>
      </w:tr>
      <w:tr w:rsidR="00845FBE" w14:paraId="2043744B" w14:textId="77777777" w:rsidTr="00C9065F">
        <w:trPr>
          <w:trHeight w:val="302"/>
          <w:jc w:val="center"/>
        </w:trPr>
        <w:tc>
          <w:tcPr>
            <w:tcW w:w="1605" w:type="pct"/>
          </w:tcPr>
          <w:p w14:paraId="2C589324" w14:textId="77777777" w:rsidR="00B343CD" w:rsidRPr="00A51A87" w:rsidRDefault="00A51A87" w:rsidP="00FA7D18">
            <w:pPr>
              <w:pStyle w:val="TableParagraph"/>
              <w:spacing w:line="240" w:lineRule="auto"/>
              <w:ind w:left="188" w:right="178"/>
              <w:jc w:val="left"/>
              <w:rPr>
                <w:sz w:val="24"/>
                <w:szCs w:val="24"/>
              </w:rPr>
            </w:pPr>
            <w:r w:rsidRPr="00A51A87">
              <w:rPr>
                <w:sz w:val="24"/>
                <w:szCs w:val="24"/>
              </w:rPr>
              <w:t xml:space="preserve">Digər </w:t>
            </w:r>
            <w:proofErr w:type="spellStart"/>
            <w:r w:rsidRPr="00A51A87">
              <w:rPr>
                <w:sz w:val="24"/>
                <w:szCs w:val="24"/>
              </w:rPr>
              <w:t>prossesinq</w:t>
            </w:r>
            <w:proofErr w:type="spellEnd"/>
            <w:r w:rsidRPr="00A51A87">
              <w:rPr>
                <w:sz w:val="24"/>
                <w:szCs w:val="24"/>
              </w:rPr>
              <w:t xml:space="preserve"> mərkəzlərində xidmət olunan r</w:t>
            </w:r>
            <w:r w:rsidR="00EF3D29" w:rsidRPr="00A51A87">
              <w:rPr>
                <w:sz w:val="24"/>
                <w:szCs w:val="24"/>
              </w:rPr>
              <w:t>ezident</w:t>
            </w:r>
            <w:r w:rsidR="00EF3D29" w:rsidRPr="00A51A87">
              <w:rPr>
                <w:spacing w:val="109"/>
                <w:sz w:val="24"/>
                <w:szCs w:val="24"/>
              </w:rPr>
              <w:t xml:space="preserve"> </w:t>
            </w:r>
            <w:r w:rsidR="00EF3D29" w:rsidRPr="00A51A87">
              <w:rPr>
                <w:sz w:val="24"/>
                <w:szCs w:val="24"/>
              </w:rPr>
              <w:t>bankların</w:t>
            </w:r>
            <w:r w:rsidR="00EF3D29" w:rsidRPr="00A51A87">
              <w:rPr>
                <w:spacing w:val="114"/>
                <w:sz w:val="24"/>
                <w:szCs w:val="24"/>
              </w:rPr>
              <w:t xml:space="preserve"> </w:t>
            </w:r>
            <w:r w:rsidR="00EF3D29" w:rsidRPr="00A51A87">
              <w:rPr>
                <w:sz w:val="24"/>
                <w:szCs w:val="24"/>
              </w:rPr>
              <w:t>emissiya</w:t>
            </w:r>
            <w:r w:rsidR="00EF3D29" w:rsidRPr="00A51A87">
              <w:rPr>
                <w:spacing w:val="114"/>
                <w:sz w:val="24"/>
                <w:szCs w:val="24"/>
              </w:rPr>
              <w:t xml:space="preserve"> </w:t>
            </w:r>
            <w:r w:rsidR="00EF3D29" w:rsidRPr="00A51A87">
              <w:rPr>
                <w:sz w:val="24"/>
                <w:szCs w:val="24"/>
              </w:rPr>
              <w:t>etdiyi</w:t>
            </w:r>
            <w:r w:rsidR="00EF3D29" w:rsidRPr="00A51A87">
              <w:rPr>
                <w:spacing w:val="116"/>
                <w:sz w:val="24"/>
                <w:szCs w:val="24"/>
              </w:rPr>
              <w:t xml:space="preserve"> </w:t>
            </w:r>
            <w:r w:rsidR="00EF3D29" w:rsidRPr="00A51A87">
              <w:rPr>
                <w:sz w:val="24"/>
                <w:szCs w:val="24"/>
              </w:rPr>
              <w:t>kartlar</w:t>
            </w:r>
          </w:p>
        </w:tc>
        <w:tc>
          <w:tcPr>
            <w:tcW w:w="1630" w:type="pct"/>
            <w:vAlign w:val="center"/>
          </w:tcPr>
          <w:p w14:paraId="5D11A6AA" w14:textId="795A77DA" w:rsidR="00B343CD" w:rsidRPr="00C9065F" w:rsidRDefault="002168B6" w:rsidP="00C9065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10</w:t>
            </w:r>
            <w:r w:rsidR="0062675C" w:rsidRPr="00C9065F">
              <w:rPr>
                <w:sz w:val="20"/>
                <w:szCs w:val="20"/>
              </w:rPr>
              <w:t>00</w:t>
            </w:r>
            <w:r w:rsidR="00845FBE" w:rsidRPr="00C9065F">
              <w:rPr>
                <w:sz w:val="20"/>
                <w:szCs w:val="20"/>
              </w:rPr>
              <w:t>AZN/600USD/500AVRO</w:t>
            </w:r>
          </w:p>
        </w:tc>
        <w:tc>
          <w:tcPr>
            <w:tcW w:w="1765" w:type="pct"/>
            <w:vAlign w:val="center"/>
          </w:tcPr>
          <w:p w14:paraId="0933B8C1" w14:textId="784FAC89" w:rsidR="00B343CD" w:rsidRPr="00C9065F" w:rsidRDefault="00845FBE" w:rsidP="00C9065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2000AZN/1000USD/1000AVRO</w:t>
            </w:r>
          </w:p>
        </w:tc>
      </w:tr>
      <w:tr w:rsidR="00845FBE" w14:paraId="5F41ADBD" w14:textId="77777777" w:rsidTr="00C9065F">
        <w:trPr>
          <w:trHeight w:val="297"/>
          <w:jc w:val="center"/>
        </w:trPr>
        <w:tc>
          <w:tcPr>
            <w:tcW w:w="1605" w:type="pct"/>
          </w:tcPr>
          <w:p w14:paraId="56D13337" w14:textId="77777777" w:rsidR="00B343CD" w:rsidRPr="00A51A87" w:rsidRDefault="00EF3D29" w:rsidP="00FA7D18">
            <w:pPr>
              <w:pStyle w:val="TableParagraph"/>
              <w:spacing w:before="9" w:line="240" w:lineRule="auto"/>
              <w:ind w:left="188" w:right="183"/>
              <w:jc w:val="left"/>
              <w:rPr>
                <w:sz w:val="24"/>
                <w:szCs w:val="24"/>
              </w:rPr>
            </w:pPr>
            <w:r w:rsidRPr="00A51A87">
              <w:rPr>
                <w:sz w:val="24"/>
                <w:szCs w:val="24"/>
              </w:rPr>
              <w:t>Qeyri</w:t>
            </w:r>
            <w:r w:rsidRPr="00A51A87">
              <w:rPr>
                <w:spacing w:val="12"/>
                <w:sz w:val="24"/>
                <w:szCs w:val="24"/>
              </w:rPr>
              <w:t xml:space="preserve"> </w:t>
            </w:r>
            <w:r w:rsidRPr="00A51A87">
              <w:rPr>
                <w:sz w:val="24"/>
                <w:szCs w:val="24"/>
              </w:rPr>
              <w:t>rezident</w:t>
            </w:r>
            <w:r w:rsidRPr="00A51A87">
              <w:rPr>
                <w:spacing w:val="9"/>
                <w:sz w:val="24"/>
                <w:szCs w:val="24"/>
              </w:rPr>
              <w:t xml:space="preserve"> </w:t>
            </w:r>
            <w:r w:rsidRPr="00A51A87">
              <w:rPr>
                <w:sz w:val="24"/>
                <w:szCs w:val="24"/>
              </w:rPr>
              <w:t>bankların</w:t>
            </w:r>
            <w:r w:rsidRPr="00A51A87">
              <w:rPr>
                <w:spacing w:val="9"/>
                <w:sz w:val="24"/>
                <w:szCs w:val="24"/>
              </w:rPr>
              <w:t xml:space="preserve"> </w:t>
            </w:r>
            <w:r w:rsidRPr="00A51A87">
              <w:rPr>
                <w:sz w:val="24"/>
                <w:szCs w:val="24"/>
              </w:rPr>
              <w:t>emissiya</w:t>
            </w:r>
            <w:r w:rsidRPr="00A51A87">
              <w:rPr>
                <w:spacing w:val="9"/>
                <w:sz w:val="24"/>
                <w:szCs w:val="24"/>
              </w:rPr>
              <w:t xml:space="preserve"> </w:t>
            </w:r>
            <w:r w:rsidRPr="00A51A87">
              <w:rPr>
                <w:sz w:val="24"/>
                <w:szCs w:val="24"/>
              </w:rPr>
              <w:t>etdiyi</w:t>
            </w:r>
            <w:r w:rsidRPr="00A51A87">
              <w:rPr>
                <w:spacing w:val="7"/>
                <w:sz w:val="24"/>
                <w:szCs w:val="24"/>
              </w:rPr>
              <w:t xml:space="preserve"> </w:t>
            </w:r>
            <w:r w:rsidRPr="00A51A87">
              <w:rPr>
                <w:sz w:val="24"/>
                <w:szCs w:val="24"/>
              </w:rPr>
              <w:t>kartlar</w:t>
            </w:r>
          </w:p>
        </w:tc>
        <w:tc>
          <w:tcPr>
            <w:tcW w:w="1630" w:type="pct"/>
            <w:vAlign w:val="center"/>
          </w:tcPr>
          <w:p w14:paraId="32A6BA3F" w14:textId="0B8FC93E" w:rsidR="00B343CD" w:rsidRPr="00C9065F" w:rsidRDefault="00845FBE" w:rsidP="00C9065F">
            <w:pPr>
              <w:pStyle w:val="TableParagraph"/>
              <w:spacing w:before="9" w:line="240" w:lineRule="auto"/>
              <w:jc w:val="center"/>
              <w:rPr>
                <w:sz w:val="20"/>
                <w:szCs w:val="20"/>
                <w:lang w:val="az-Latn-AZ"/>
              </w:rPr>
            </w:pPr>
            <w:r w:rsidRPr="00C9065F">
              <w:rPr>
                <w:sz w:val="20"/>
                <w:szCs w:val="20"/>
              </w:rPr>
              <w:t>300AZN/200USD/200AVRO</w:t>
            </w:r>
          </w:p>
        </w:tc>
        <w:tc>
          <w:tcPr>
            <w:tcW w:w="1765" w:type="pct"/>
            <w:vAlign w:val="center"/>
          </w:tcPr>
          <w:p w14:paraId="4143C0A1" w14:textId="4E3ADEA4" w:rsidR="00B343CD" w:rsidRPr="00C9065F" w:rsidRDefault="0062675C" w:rsidP="00C9065F">
            <w:pPr>
              <w:pStyle w:val="TableParagraph"/>
              <w:spacing w:before="9"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500</w:t>
            </w:r>
            <w:r w:rsidR="00845FBE" w:rsidRPr="00C9065F">
              <w:rPr>
                <w:sz w:val="20"/>
                <w:szCs w:val="20"/>
              </w:rPr>
              <w:t>AZN/300USD/300AVRO</w:t>
            </w:r>
          </w:p>
        </w:tc>
      </w:tr>
    </w:tbl>
    <w:p w14:paraId="75B30FE9" w14:textId="77777777" w:rsidR="00EC6F17" w:rsidRDefault="00EC6F17" w:rsidP="0045370A">
      <w:pPr>
        <w:pStyle w:val="a3"/>
      </w:pPr>
    </w:p>
    <w:p w14:paraId="71765F31" w14:textId="0BA56510" w:rsidR="00137FA4" w:rsidRDefault="00137FA4" w:rsidP="009167B8">
      <w:pPr>
        <w:pStyle w:val="a3"/>
        <w:numPr>
          <w:ilvl w:val="1"/>
          <w:numId w:val="13"/>
        </w:numPr>
        <w:ind w:left="1276" w:hanging="567"/>
        <w:jc w:val="both"/>
      </w:pPr>
      <w:r>
        <w:rPr>
          <w:rFonts w:ascii="Arial" w:hAnsi="Arial" w:cs="Arial"/>
          <w:lang w:val="az-Latn-AZ"/>
        </w:rPr>
        <w:t xml:space="preserve">Cəmiyyətə məxsus </w:t>
      </w:r>
      <w:proofErr w:type="spellStart"/>
      <w:r>
        <w:rPr>
          <w:rFonts w:ascii="Arial" w:hAnsi="Arial" w:cs="Arial"/>
          <w:lang w:val="az-Latn-AZ"/>
        </w:rPr>
        <w:t>retail</w:t>
      </w:r>
      <w:proofErr w:type="spellEnd"/>
      <w:r>
        <w:rPr>
          <w:rFonts w:ascii="Arial" w:hAnsi="Arial" w:cs="Arial"/>
          <w:lang w:val="az-Latn-AZ"/>
        </w:rPr>
        <w:t xml:space="preserve"> </w:t>
      </w:r>
      <w:proofErr w:type="spellStart"/>
      <w:r>
        <w:rPr>
          <w:rFonts w:ascii="Arial" w:hAnsi="Arial" w:cs="Arial"/>
          <w:lang w:val="az-Latn-AZ"/>
        </w:rPr>
        <w:t>pos</w:t>
      </w:r>
      <w:proofErr w:type="spellEnd"/>
      <w:r>
        <w:rPr>
          <w:rFonts w:ascii="Arial" w:hAnsi="Arial" w:cs="Arial"/>
          <w:lang w:val="az-Latn-AZ"/>
        </w:rPr>
        <w:t xml:space="preserve"> terminallarda </w:t>
      </w:r>
      <w:r w:rsidR="009167B8">
        <w:rPr>
          <w:rFonts w:ascii="Arial" w:hAnsi="Arial" w:cs="Arial"/>
          <w:lang w:val="az-Latn-AZ"/>
        </w:rPr>
        <w:t xml:space="preserve">qanunvericiliklə tətbiq edilmiş minimum məbləğdən çox </w:t>
      </w:r>
      <w:r>
        <w:rPr>
          <w:rFonts w:ascii="Arial" w:hAnsi="Arial" w:cs="Arial"/>
          <w:lang w:val="az-Latn-AZ"/>
        </w:rPr>
        <w:t>olan məbləğdə həyata keçirilən əməliyyatlarda PİN-kod daxil edilməlidir</w:t>
      </w:r>
    </w:p>
    <w:p w14:paraId="652EDD40" w14:textId="77777777" w:rsidR="00B343CD" w:rsidRDefault="00B343CD" w:rsidP="00FA7D18">
      <w:pPr>
        <w:pStyle w:val="a3"/>
        <w:spacing w:before="10"/>
        <w:rPr>
          <w:sz w:val="14"/>
        </w:rPr>
      </w:pPr>
    </w:p>
    <w:p w14:paraId="51EAC33B" w14:textId="262815CF" w:rsidR="00B343CD" w:rsidRDefault="00A51A87" w:rsidP="00FA7D18">
      <w:pPr>
        <w:pStyle w:val="1"/>
        <w:numPr>
          <w:ilvl w:val="0"/>
          <w:numId w:val="2"/>
        </w:numPr>
        <w:ind w:left="749" w:hanging="323"/>
        <w:jc w:val="left"/>
      </w:pPr>
      <w:r>
        <w:t xml:space="preserve">Cəmiyyət </w:t>
      </w:r>
      <w:r w:rsidR="0062675C">
        <w:t>tərəfindən</w:t>
      </w:r>
      <w:r w:rsidR="0062675C" w:rsidRPr="00A51A87">
        <w:t xml:space="preserve"> </w:t>
      </w:r>
      <w:r w:rsidR="0062675C">
        <w:t>emissiya</w:t>
      </w:r>
      <w:r w:rsidR="0062675C" w:rsidRPr="00A51A87">
        <w:t xml:space="preserve"> </w:t>
      </w:r>
      <w:r w:rsidR="0062675C">
        <w:t>edilən</w:t>
      </w:r>
      <w:r w:rsidR="0062675C" w:rsidRPr="00A51A87">
        <w:t xml:space="preserve"> </w:t>
      </w:r>
      <w:r w:rsidR="0062675C">
        <w:t>kart</w:t>
      </w:r>
      <w:r w:rsidR="0062675C" w:rsidRPr="00A51A87">
        <w:t xml:space="preserve"> </w:t>
      </w:r>
      <w:r w:rsidR="0062675C">
        <w:t>məhsulları</w:t>
      </w:r>
      <w:r w:rsidR="0062675C" w:rsidRPr="00A51A87">
        <w:t xml:space="preserve"> </w:t>
      </w:r>
      <w:r w:rsidR="0062675C">
        <w:t>üzrə</w:t>
      </w:r>
      <w:r w:rsidR="0062675C" w:rsidRPr="00A51A87">
        <w:t xml:space="preserve"> </w:t>
      </w:r>
      <w:r w:rsidR="0062675C">
        <w:t>tətbiq</w:t>
      </w:r>
      <w:r w:rsidR="0062675C" w:rsidRPr="00A51A87">
        <w:t xml:space="preserve"> </w:t>
      </w:r>
      <w:r w:rsidR="0062675C">
        <w:t>edilən</w:t>
      </w:r>
      <w:r>
        <w:t xml:space="preserve"> </w:t>
      </w:r>
      <w:r w:rsidR="0062675C" w:rsidRPr="00A51A87">
        <w:t xml:space="preserve">gündəlik limitlər </w:t>
      </w:r>
    </w:p>
    <w:p w14:paraId="36508640" w14:textId="0B5115E6" w:rsidR="00A51A87" w:rsidRPr="00F76F1C" w:rsidRDefault="005A2EC5" w:rsidP="00FA7D18">
      <w:pPr>
        <w:pStyle w:val="a5"/>
        <w:widowControl/>
        <w:numPr>
          <w:ilvl w:val="1"/>
          <w:numId w:val="16"/>
        </w:numPr>
        <w:tabs>
          <w:tab w:val="left" w:pos="1276"/>
        </w:tabs>
        <w:autoSpaceDE/>
        <w:autoSpaceDN/>
        <w:spacing w:before="120" w:after="120"/>
        <w:ind w:left="0"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A51A87">
        <w:rPr>
          <w:rFonts w:ascii="Arial" w:hAnsi="Arial" w:cs="Arial"/>
          <w:sz w:val="24"/>
          <w:szCs w:val="24"/>
          <w:lang w:val="az-Latn-AZ"/>
        </w:rPr>
        <w:t xml:space="preserve">Limitlər </w:t>
      </w:r>
      <w:r>
        <w:rPr>
          <w:rFonts w:ascii="Arial" w:hAnsi="Arial" w:cs="Arial"/>
          <w:sz w:val="24"/>
          <w:szCs w:val="24"/>
          <w:lang w:val="az-Latn-AZ"/>
        </w:rPr>
        <w:t xml:space="preserve">bütün </w:t>
      </w:r>
      <w:r w:rsidRPr="00A51A87">
        <w:rPr>
          <w:rFonts w:ascii="Arial" w:hAnsi="Arial" w:cs="Arial"/>
          <w:sz w:val="24"/>
          <w:szCs w:val="24"/>
          <w:lang w:val="az-Latn-AZ"/>
        </w:rPr>
        <w:t>valyuta</w:t>
      </w:r>
      <w:r>
        <w:rPr>
          <w:rFonts w:ascii="Arial" w:hAnsi="Arial" w:cs="Arial"/>
          <w:sz w:val="24"/>
          <w:szCs w:val="24"/>
          <w:lang w:val="az-Latn-AZ"/>
        </w:rPr>
        <w:t>lar</w:t>
      </w:r>
      <w:r w:rsidRPr="00A51A87">
        <w:rPr>
          <w:rFonts w:ascii="Arial" w:hAnsi="Arial" w:cs="Arial"/>
          <w:sz w:val="24"/>
          <w:szCs w:val="24"/>
          <w:lang w:val="az-Latn-AZ"/>
        </w:rPr>
        <w:t xml:space="preserve"> üzrə </w:t>
      </w:r>
      <w:r>
        <w:rPr>
          <w:rFonts w:ascii="Arial" w:hAnsi="Arial" w:cs="Arial"/>
          <w:sz w:val="24"/>
          <w:szCs w:val="24"/>
          <w:lang w:val="az-Latn-AZ"/>
        </w:rPr>
        <w:t xml:space="preserve">aşağıdakı </w:t>
      </w:r>
      <w:r w:rsidRPr="00A51A87">
        <w:rPr>
          <w:rFonts w:ascii="Arial" w:hAnsi="Arial" w:cs="Arial"/>
          <w:sz w:val="24"/>
          <w:szCs w:val="24"/>
          <w:lang w:val="az-Latn-AZ"/>
        </w:rPr>
        <w:t>cədvəl</w:t>
      </w:r>
      <w:r>
        <w:rPr>
          <w:rFonts w:ascii="Arial" w:hAnsi="Arial" w:cs="Arial"/>
          <w:sz w:val="24"/>
          <w:szCs w:val="24"/>
          <w:lang w:val="az-Latn-AZ"/>
        </w:rPr>
        <w:t xml:space="preserve">ə uyğun manat ekvivalentində müəyyən edilir. </w:t>
      </w:r>
    </w:p>
    <w:tbl>
      <w:tblPr>
        <w:tblStyle w:val="TableNormal1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927"/>
        <w:gridCol w:w="2068"/>
        <w:gridCol w:w="2124"/>
      </w:tblGrid>
      <w:tr w:rsidR="00C9065F" w14:paraId="0CC87757" w14:textId="77777777" w:rsidTr="00C9065F">
        <w:trPr>
          <w:trHeight w:val="301"/>
        </w:trPr>
        <w:tc>
          <w:tcPr>
            <w:tcW w:w="1923" w:type="pct"/>
            <w:vAlign w:val="center"/>
          </w:tcPr>
          <w:p w14:paraId="4A3B1A98" w14:textId="77777777" w:rsidR="00B343CD" w:rsidRDefault="0062675C" w:rsidP="00FA7D18">
            <w:pPr>
              <w:pStyle w:val="TableParagraph"/>
              <w:spacing w:before="5" w:line="240" w:lineRule="auto"/>
              <w:ind w:left="139" w:right="13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Məhsul</w:t>
            </w:r>
          </w:p>
        </w:tc>
        <w:tc>
          <w:tcPr>
            <w:tcW w:w="969" w:type="pct"/>
            <w:vAlign w:val="center"/>
          </w:tcPr>
          <w:p w14:paraId="58780EC9" w14:textId="77777777" w:rsidR="00B343CD" w:rsidRDefault="0062675C" w:rsidP="00C9065F">
            <w:pPr>
              <w:pStyle w:val="TableParagraph"/>
              <w:spacing w:before="5" w:line="240" w:lineRule="auto"/>
              <w:ind w:right="158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Cash</w:t>
            </w:r>
            <w:proofErr w:type="spellEnd"/>
            <w:r>
              <w:rPr>
                <w:rFonts w:ascii="Arial"/>
                <w:b/>
                <w:sz w:val="24"/>
              </w:rPr>
              <w:t>*</w:t>
            </w:r>
          </w:p>
        </w:tc>
        <w:tc>
          <w:tcPr>
            <w:tcW w:w="1040" w:type="pct"/>
            <w:vAlign w:val="center"/>
          </w:tcPr>
          <w:p w14:paraId="10DC1F7F" w14:textId="77777777" w:rsidR="00B343CD" w:rsidRDefault="0062675C" w:rsidP="00C9065F">
            <w:pPr>
              <w:pStyle w:val="TableParagraph"/>
              <w:spacing w:before="5" w:line="240" w:lineRule="auto"/>
              <w:ind w:right="93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Retail</w:t>
            </w:r>
            <w:proofErr w:type="spellEnd"/>
            <w:r>
              <w:rPr>
                <w:rFonts w:ascii="Arial"/>
                <w:b/>
                <w:sz w:val="24"/>
              </w:rPr>
              <w:t>**</w:t>
            </w:r>
          </w:p>
        </w:tc>
        <w:tc>
          <w:tcPr>
            <w:tcW w:w="1069" w:type="pct"/>
            <w:vAlign w:val="center"/>
          </w:tcPr>
          <w:p w14:paraId="67B102E2" w14:textId="77777777" w:rsidR="00B343CD" w:rsidRDefault="0062675C" w:rsidP="00C9065F">
            <w:pPr>
              <w:pStyle w:val="TableParagraph"/>
              <w:spacing w:before="5" w:line="240" w:lineRule="auto"/>
              <w:ind w:right="100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Ecomm</w:t>
            </w:r>
            <w:proofErr w:type="spellEnd"/>
            <w:r>
              <w:rPr>
                <w:rFonts w:ascii="Arial"/>
                <w:b/>
                <w:sz w:val="24"/>
              </w:rPr>
              <w:t>***</w:t>
            </w:r>
          </w:p>
        </w:tc>
      </w:tr>
      <w:tr w:rsidR="00C9065F" w14:paraId="67E47A91" w14:textId="77777777" w:rsidTr="00C9065F">
        <w:trPr>
          <w:trHeight w:val="302"/>
        </w:trPr>
        <w:tc>
          <w:tcPr>
            <w:tcW w:w="1923" w:type="pct"/>
            <w:vAlign w:val="center"/>
          </w:tcPr>
          <w:p w14:paraId="0196F2EA" w14:textId="770B8DD0" w:rsidR="00B343CD" w:rsidRDefault="0062675C" w:rsidP="00FA7D18">
            <w:pPr>
              <w:pStyle w:val="TableParagraph"/>
              <w:spacing w:line="240" w:lineRule="auto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Maestro</w:t>
            </w:r>
            <w:r w:rsidR="00E95A97">
              <w:rPr>
                <w:sz w:val="24"/>
              </w:rPr>
              <w:t xml:space="preserve"> </w:t>
            </w:r>
          </w:p>
        </w:tc>
        <w:tc>
          <w:tcPr>
            <w:tcW w:w="969" w:type="pct"/>
            <w:vAlign w:val="center"/>
          </w:tcPr>
          <w:p w14:paraId="16F1B83A" w14:textId="4910D48B" w:rsidR="00B343CD" w:rsidRPr="00C9065F" w:rsidRDefault="0062675C" w:rsidP="00C9065F">
            <w:pPr>
              <w:pStyle w:val="TableParagraph"/>
              <w:spacing w:line="240" w:lineRule="auto"/>
              <w:ind w:right="90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1</w:t>
            </w:r>
            <w:r w:rsidR="00845FBE" w:rsidRPr="00C9065F">
              <w:rPr>
                <w:spacing w:val="3"/>
                <w:sz w:val="20"/>
                <w:szCs w:val="20"/>
              </w:rPr>
              <w:t> </w:t>
            </w:r>
            <w:r w:rsidRPr="00C9065F">
              <w:rPr>
                <w:sz w:val="20"/>
                <w:szCs w:val="20"/>
              </w:rPr>
              <w:t>000</w:t>
            </w:r>
            <w:r w:rsidR="00845FBE" w:rsidRPr="00C9065F">
              <w:rPr>
                <w:sz w:val="20"/>
                <w:szCs w:val="20"/>
              </w:rPr>
              <w:t>AZN/600USD/500AVRO</w:t>
            </w:r>
          </w:p>
        </w:tc>
        <w:tc>
          <w:tcPr>
            <w:tcW w:w="1040" w:type="pct"/>
            <w:vAlign w:val="center"/>
          </w:tcPr>
          <w:p w14:paraId="52354BE8" w14:textId="057DBFD8" w:rsidR="00B343CD" w:rsidRPr="00C9065F" w:rsidRDefault="00845FBE" w:rsidP="00C9065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2500AZN/1500USD/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1500AVRO</w:t>
            </w:r>
          </w:p>
        </w:tc>
        <w:tc>
          <w:tcPr>
            <w:tcW w:w="1069" w:type="pct"/>
            <w:vAlign w:val="center"/>
          </w:tcPr>
          <w:p w14:paraId="61ADE985" w14:textId="44357D09" w:rsidR="00B343CD" w:rsidRPr="00C9065F" w:rsidRDefault="00845FBE" w:rsidP="00C9065F">
            <w:pPr>
              <w:pStyle w:val="TableParagraph"/>
              <w:spacing w:line="240" w:lineRule="auto"/>
              <w:ind w:right="92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2500AZN/1500USD/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1500AVRO</w:t>
            </w:r>
          </w:p>
        </w:tc>
      </w:tr>
      <w:tr w:rsidR="00C9065F" w14:paraId="44AF2B70" w14:textId="77777777" w:rsidTr="00C9065F">
        <w:trPr>
          <w:trHeight w:val="297"/>
        </w:trPr>
        <w:tc>
          <w:tcPr>
            <w:tcW w:w="1923" w:type="pct"/>
            <w:vAlign w:val="center"/>
          </w:tcPr>
          <w:p w14:paraId="433EF20E" w14:textId="77777777" w:rsidR="00B343CD" w:rsidRDefault="0062675C" w:rsidP="00FA7D18">
            <w:pPr>
              <w:pStyle w:val="TableParagraph"/>
              <w:spacing w:before="9" w:line="240" w:lineRule="auto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Debet </w:t>
            </w:r>
            <w:proofErr w:type="spellStart"/>
            <w:r>
              <w:rPr>
                <w:sz w:val="24"/>
              </w:rPr>
              <w:t>MasterCard</w:t>
            </w:r>
            <w:proofErr w:type="spellEnd"/>
            <w:r w:rsidR="00E95A97">
              <w:rPr>
                <w:sz w:val="24"/>
              </w:rPr>
              <w:t xml:space="preserve"> Standard</w:t>
            </w:r>
          </w:p>
        </w:tc>
        <w:tc>
          <w:tcPr>
            <w:tcW w:w="969" w:type="pct"/>
            <w:vAlign w:val="center"/>
          </w:tcPr>
          <w:p w14:paraId="60D8D3B5" w14:textId="762E3F97" w:rsidR="00B343CD" w:rsidRPr="00C9065F" w:rsidRDefault="002168B6" w:rsidP="00C9065F">
            <w:pPr>
              <w:pStyle w:val="TableParagraph"/>
              <w:spacing w:before="9" w:line="240" w:lineRule="auto"/>
              <w:ind w:right="90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20</w:t>
            </w:r>
            <w:r w:rsidR="0062675C" w:rsidRPr="00C9065F">
              <w:rPr>
                <w:sz w:val="20"/>
                <w:szCs w:val="20"/>
              </w:rPr>
              <w:t>00</w:t>
            </w:r>
            <w:r w:rsidR="00845FBE" w:rsidRPr="00C9065F">
              <w:rPr>
                <w:sz w:val="20"/>
                <w:szCs w:val="20"/>
              </w:rPr>
              <w:t>AZN/1200USD/1000AVRO</w:t>
            </w:r>
          </w:p>
        </w:tc>
        <w:tc>
          <w:tcPr>
            <w:tcW w:w="1040" w:type="pct"/>
            <w:vAlign w:val="center"/>
          </w:tcPr>
          <w:p w14:paraId="793EB1AC" w14:textId="49275892" w:rsidR="00B343CD" w:rsidRPr="00C9065F" w:rsidRDefault="002168B6" w:rsidP="00C9065F">
            <w:pPr>
              <w:pStyle w:val="TableParagraph"/>
              <w:spacing w:before="9"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</w:t>
            </w:r>
            <w:r w:rsidR="0062675C" w:rsidRPr="00C9065F">
              <w:rPr>
                <w:sz w:val="20"/>
                <w:szCs w:val="20"/>
              </w:rPr>
              <w:t>000</w:t>
            </w:r>
            <w:r w:rsidR="00845FBE" w:rsidRPr="00C9065F">
              <w:rPr>
                <w:sz w:val="20"/>
                <w:szCs w:val="20"/>
              </w:rPr>
              <w:t>AZN/3000USD/</w:t>
            </w:r>
            <w:r w:rsidR="00C9065F">
              <w:rPr>
                <w:sz w:val="20"/>
                <w:szCs w:val="20"/>
              </w:rPr>
              <w:t xml:space="preserve"> </w:t>
            </w:r>
            <w:r w:rsidR="00330C85" w:rsidRPr="00C9065F">
              <w:rPr>
                <w:sz w:val="20"/>
                <w:szCs w:val="20"/>
              </w:rPr>
              <w:t>3000AVRO</w:t>
            </w:r>
          </w:p>
        </w:tc>
        <w:tc>
          <w:tcPr>
            <w:tcW w:w="1069" w:type="pct"/>
            <w:vAlign w:val="center"/>
          </w:tcPr>
          <w:p w14:paraId="75331B67" w14:textId="530AAB9E" w:rsidR="00B343CD" w:rsidRPr="00C9065F" w:rsidRDefault="00330C85" w:rsidP="00C9065F">
            <w:pPr>
              <w:pStyle w:val="TableParagraph"/>
              <w:spacing w:before="9" w:line="240" w:lineRule="auto"/>
              <w:ind w:right="92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5000AZN/3000USD/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3000AVRO</w:t>
            </w:r>
          </w:p>
        </w:tc>
      </w:tr>
      <w:tr w:rsidR="00C9065F" w14:paraId="3505A186" w14:textId="77777777" w:rsidTr="00C9065F">
        <w:trPr>
          <w:trHeight w:val="301"/>
        </w:trPr>
        <w:tc>
          <w:tcPr>
            <w:tcW w:w="1923" w:type="pct"/>
            <w:vAlign w:val="center"/>
          </w:tcPr>
          <w:p w14:paraId="0F224C9F" w14:textId="60F8453A" w:rsidR="00B343CD" w:rsidRDefault="0062675C" w:rsidP="00FA7D18">
            <w:pPr>
              <w:pStyle w:val="TableParagraph"/>
              <w:spacing w:line="240" w:lineRule="auto"/>
              <w:ind w:left="144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MasterCard</w:t>
            </w:r>
            <w:proofErr w:type="spellEnd"/>
            <w:r w:rsidR="00B92E4E">
              <w:rPr>
                <w:sz w:val="24"/>
              </w:rPr>
              <w:t xml:space="preserve"> Standard /</w:t>
            </w:r>
            <w:proofErr w:type="spellStart"/>
            <w:r w:rsidR="00B92E4E">
              <w:rPr>
                <w:sz w:val="24"/>
              </w:rPr>
              <w:t>Visa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 w:rsidR="00B92E4E">
              <w:rPr>
                <w:sz w:val="24"/>
              </w:rPr>
              <w:t>Classic</w:t>
            </w:r>
            <w:proofErr w:type="spellEnd"/>
            <w:r w:rsidR="00B92E4E">
              <w:rPr>
                <w:sz w:val="24"/>
              </w:rPr>
              <w:t xml:space="preserve"> </w:t>
            </w:r>
          </w:p>
        </w:tc>
        <w:tc>
          <w:tcPr>
            <w:tcW w:w="969" w:type="pct"/>
            <w:vAlign w:val="center"/>
          </w:tcPr>
          <w:p w14:paraId="31E21693" w14:textId="6322C6D7" w:rsidR="00B343CD" w:rsidRPr="00C9065F" w:rsidRDefault="00330C85" w:rsidP="00C9065F">
            <w:pPr>
              <w:pStyle w:val="TableParagraph"/>
              <w:spacing w:line="240" w:lineRule="auto"/>
              <w:ind w:right="90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2000AZN/1200USD/1000AVRO</w:t>
            </w:r>
          </w:p>
        </w:tc>
        <w:tc>
          <w:tcPr>
            <w:tcW w:w="1040" w:type="pct"/>
            <w:vAlign w:val="center"/>
          </w:tcPr>
          <w:p w14:paraId="4988E2B0" w14:textId="3E511F37" w:rsidR="00B343CD" w:rsidRPr="00C9065F" w:rsidRDefault="00330C85" w:rsidP="00C9065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5000AZN/3000USD/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3000AVRO</w:t>
            </w:r>
          </w:p>
        </w:tc>
        <w:tc>
          <w:tcPr>
            <w:tcW w:w="1069" w:type="pct"/>
            <w:vAlign w:val="center"/>
          </w:tcPr>
          <w:p w14:paraId="236D5940" w14:textId="5B66B512" w:rsidR="00B343CD" w:rsidRPr="00C9065F" w:rsidRDefault="00330C85" w:rsidP="00C9065F">
            <w:pPr>
              <w:pStyle w:val="TableParagraph"/>
              <w:spacing w:line="240" w:lineRule="auto"/>
              <w:ind w:right="93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5000AZN/3000USD/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3000AVRO</w:t>
            </w:r>
          </w:p>
        </w:tc>
      </w:tr>
      <w:tr w:rsidR="00C9065F" w14:paraId="28DFB208" w14:textId="77777777" w:rsidTr="00C9065F">
        <w:trPr>
          <w:trHeight w:val="301"/>
        </w:trPr>
        <w:tc>
          <w:tcPr>
            <w:tcW w:w="1923" w:type="pct"/>
            <w:vAlign w:val="center"/>
          </w:tcPr>
          <w:p w14:paraId="34127124" w14:textId="16D84C8C" w:rsidR="00B343CD" w:rsidRDefault="0062675C" w:rsidP="00FA7D18">
            <w:pPr>
              <w:pStyle w:val="TableParagraph"/>
              <w:spacing w:line="240" w:lineRule="auto"/>
              <w:ind w:left="144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MasterCard</w:t>
            </w:r>
            <w:proofErr w:type="spellEnd"/>
            <w:r w:rsidR="00B92E4E">
              <w:rPr>
                <w:sz w:val="24"/>
              </w:rPr>
              <w:t xml:space="preserve"> </w:t>
            </w:r>
            <w:proofErr w:type="spellStart"/>
            <w:r w:rsidR="00B92E4E">
              <w:rPr>
                <w:sz w:val="24"/>
              </w:rPr>
              <w:t>Gold</w:t>
            </w:r>
            <w:proofErr w:type="spellEnd"/>
            <w:r w:rsidR="00B92E4E">
              <w:rPr>
                <w:sz w:val="24"/>
              </w:rPr>
              <w:t xml:space="preserve"> </w:t>
            </w:r>
            <w:r w:rsidR="005A2EC5">
              <w:rPr>
                <w:sz w:val="24"/>
              </w:rPr>
              <w:t>/</w:t>
            </w:r>
            <w:proofErr w:type="spellStart"/>
            <w:r w:rsidR="005A2EC5">
              <w:rPr>
                <w:sz w:val="24"/>
              </w:rPr>
              <w:t>Visa</w:t>
            </w:r>
            <w:proofErr w:type="spellEnd"/>
            <w:r w:rsidR="005A2EC5">
              <w:rPr>
                <w:sz w:val="24"/>
              </w:rPr>
              <w:t xml:space="preserve"> </w:t>
            </w:r>
            <w:proofErr w:type="spellStart"/>
            <w:r w:rsidR="00B92E4E">
              <w:rPr>
                <w:sz w:val="24"/>
              </w:rPr>
              <w:t>Gold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969" w:type="pct"/>
            <w:vAlign w:val="center"/>
          </w:tcPr>
          <w:p w14:paraId="428B354A" w14:textId="48331081" w:rsidR="00B343CD" w:rsidRPr="00C9065F" w:rsidRDefault="00330C85" w:rsidP="00C9065F">
            <w:pPr>
              <w:pStyle w:val="TableParagraph"/>
              <w:spacing w:line="240" w:lineRule="auto"/>
              <w:ind w:right="90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3500AZN/2000USD/2000AVRO</w:t>
            </w:r>
          </w:p>
        </w:tc>
        <w:tc>
          <w:tcPr>
            <w:tcW w:w="1040" w:type="pct"/>
            <w:vAlign w:val="center"/>
          </w:tcPr>
          <w:p w14:paraId="71882F19" w14:textId="640ADEF6" w:rsidR="00B343CD" w:rsidRPr="00C9065F" w:rsidRDefault="00330C85" w:rsidP="00C9065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10000AZN/6000USD/5000AVRO</w:t>
            </w:r>
          </w:p>
        </w:tc>
        <w:tc>
          <w:tcPr>
            <w:tcW w:w="1069" w:type="pct"/>
            <w:vAlign w:val="center"/>
          </w:tcPr>
          <w:p w14:paraId="1083BC69" w14:textId="15D4646A" w:rsidR="00B343CD" w:rsidRPr="00C9065F" w:rsidRDefault="00330C85" w:rsidP="00C9065F">
            <w:pPr>
              <w:pStyle w:val="TableParagraph"/>
              <w:spacing w:line="240" w:lineRule="auto"/>
              <w:ind w:right="92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10000AZN/6000USD/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5000AVRO</w:t>
            </w:r>
          </w:p>
        </w:tc>
      </w:tr>
      <w:tr w:rsidR="00C9065F" w14:paraId="3435F72E" w14:textId="77777777" w:rsidTr="00C9065F">
        <w:trPr>
          <w:trHeight w:val="297"/>
        </w:trPr>
        <w:tc>
          <w:tcPr>
            <w:tcW w:w="1923" w:type="pct"/>
            <w:vAlign w:val="center"/>
          </w:tcPr>
          <w:p w14:paraId="28BDA4FD" w14:textId="77777777" w:rsidR="00B343CD" w:rsidRDefault="0062675C" w:rsidP="00FA7D18">
            <w:pPr>
              <w:pStyle w:val="TableParagraph"/>
              <w:spacing w:before="9" w:line="240" w:lineRule="auto"/>
              <w:ind w:left="144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MasterCard</w:t>
            </w:r>
            <w:proofErr w:type="spellEnd"/>
            <w:r w:rsidR="00B92E4E">
              <w:rPr>
                <w:sz w:val="24"/>
              </w:rPr>
              <w:t xml:space="preserve"> </w:t>
            </w:r>
            <w:proofErr w:type="spellStart"/>
            <w:r w:rsidR="00B92E4E">
              <w:rPr>
                <w:sz w:val="24"/>
              </w:rPr>
              <w:t>Platinium</w:t>
            </w:r>
            <w:proofErr w:type="spellEnd"/>
            <w:r w:rsidR="00B92E4E">
              <w:rPr>
                <w:sz w:val="24"/>
              </w:rPr>
              <w:t xml:space="preserve"> </w:t>
            </w:r>
            <w:r w:rsidR="005A2EC5">
              <w:rPr>
                <w:sz w:val="24"/>
              </w:rPr>
              <w:t>/</w:t>
            </w:r>
            <w:proofErr w:type="spellStart"/>
            <w:r w:rsidR="005A2EC5">
              <w:rPr>
                <w:sz w:val="24"/>
              </w:rPr>
              <w:t>Visa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Platinium</w:t>
            </w:r>
            <w:proofErr w:type="spellEnd"/>
          </w:p>
        </w:tc>
        <w:tc>
          <w:tcPr>
            <w:tcW w:w="969" w:type="pct"/>
            <w:vAlign w:val="center"/>
          </w:tcPr>
          <w:p w14:paraId="25AB56BB" w14:textId="77777777" w:rsidR="00330C85" w:rsidRPr="00C9065F" w:rsidRDefault="00330C85" w:rsidP="00C9065F">
            <w:pPr>
              <w:pStyle w:val="TableParagraph"/>
              <w:spacing w:before="9" w:line="240" w:lineRule="auto"/>
              <w:ind w:right="90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5000AZN/3000USD/</w:t>
            </w:r>
          </w:p>
          <w:p w14:paraId="0E6F4DB6" w14:textId="6A0CFC01" w:rsidR="00B343CD" w:rsidRPr="00C9065F" w:rsidRDefault="00330C85" w:rsidP="00C9065F">
            <w:pPr>
              <w:pStyle w:val="TableParagraph"/>
              <w:spacing w:before="9" w:line="240" w:lineRule="auto"/>
              <w:ind w:right="90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3000AVRO</w:t>
            </w:r>
          </w:p>
        </w:tc>
        <w:tc>
          <w:tcPr>
            <w:tcW w:w="1040" w:type="pct"/>
            <w:vAlign w:val="center"/>
          </w:tcPr>
          <w:p w14:paraId="5F0503C0" w14:textId="4E0512E1" w:rsidR="00B343CD" w:rsidRPr="00C9065F" w:rsidRDefault="00330C85" w:rsidP="00C9065F">
            <w:pPr>
              <w:pStyle w:val="TableParagraph"/>
              <w:spacing w:before="9"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15000AZN/9000USD/8000AVRO</w:t>
            </w:r>
          </w:p>
        </w:tc>
        <w:tc>
          <w:tcPr>
            <w:tcW w:w="1069" w:type="pct"/>
            <w:vAlign w:val="center"/>
          </w:tcPr>
          <w:p w14:paraId="5E6DC546" w14:textId="190BAA0B" w:rsidR="00B343CD" w:rsidRPr="00C9065F" w:rsidRDefault="00330C85" w:rsidP="00C9065F">
            <w:pPr>
              <w:pStyle w:val="TableParagraph"/>
              <w:spacing w:before="9" w:line="240" w:lineRule="auto"/>
              <w:ind w:right="92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15000AZN/9000USD/8000AVRO</w:t>
            </w:r>
          </w:p>
        </w:tc>
      </w:tr>
      <w:tr w:rsidR="00C9065F" w14:paraId="753D8B22" w14:textId="77777777" w:rsidTr="00C9065F">
        <w:trPr>
          <w:trHeight w:val="302"/>
        </w:trPr>
        <w:tc>
          <w:tcPr>
            <w:tcW w:w="1923" w:type="pct"/>
            <w:vAlign w:val="center"/>
          </w:tcPr>
          <w:p w14:paraId="15587701" w14:textId="77777777" w:rsidR="00330C85" w:rsidRDefault="00330C85" w:rsidP="00330C85">
            <w:pPr>
              <w:pStyle w:val="TableParagraph"/>
              <w:spacing w:line="240" w:lineRule="auto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Korporativ</w:t>
            </w:r>
          </w:p>
        </w:tc>
        <w:tc>
          <w:tcPr>
            <w:tcW w:w="969" w:type="pct"/>
            <w:vAlign w:val="center"/>
          </w:tcPr>
          <w:p w14:paraId="7DDA2C4A" w14:textId="61D99C05" w:rsidR="00330C85" w:rsidRPr="00C9065F" w:rsidRDefault="00330C85" w:rsidP="00C9065F">
            <w:pPr>
              <w:pStyle w:val="TableParagraph"/>
              <w:spacing w:line="240" w:lineRule="auto"/>
              <w:ind w:right="90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500AZN/300USD/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250AVRO</w:t>
            </w:r>
          </w:p>
        </w:tc>
        <w:tc>
          <w:tcPr>
            <w:tcW w:w="1040" w:type="pct"/>
            <w:vAlign w:val="center"/>
          </w:tcPr>
          <w:p w14:paraId="35E2054D" w14:textId="21780E96" w:rsidR="00330C85" w:rsidRPr="00C9065F" w:rsidRDefault="00330C85" w:rsidP="00C9065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5000AZN/3000USD/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3000AVRO</w:t>
            </w:r>
          </w:p>
        </w:tc>
        <w:tc>
          <w:tcPr>
            <w:tcW w:w="1069" w:type="pct"/>
            <w:vAlign w:val="center"/>
          </w:tcPr>
          <w:p w14:paraId="3AF21C89" w14:textId="238B9EA0" w:rsidR="00330C85" w:rsidRPr="00C9065F" w:rsidRDefault="00330C85" w:rsidP="00C9065F">
            <w:pPr>
              <w:pStyle w:val="TableParagraph"/>
              <w:spacing w:line="240" w:lineRule="auto"/>
              <w:ind w:right="92"/>
              <w:jc w:val="center"/>
              <w:rPr>
                <w:sz w:val="20"/>
                <w:szCs w:val="20"/>
              </w:rPr>
            </w:pPr>
            <w:r w:rsidRPr="00C9065F">
              <w:rPr>
                <w:sz w:val="20"/>
                <w:szCs w:val="20"/>
              </w:rPr>
              <w:t>5000AZN/3000USD/</w:t>
            </w:r>
            <w:r w:rsidR="00C9065F">
              <w:rPr>
                <w:sz w:val="20"/>
                <w:szCs w:val="20"/>
              </w:rPr>
              <w:t xml:space="preserve"> </w:t>
            </w:r>
            <w:r w:rsidRPr="00C9065F">
              <w:rPr>
                <w:sz w:val="20"/>
                <w:szCs w:val="20"/>
              </w:rPr>
              <w:t>3000AVRO</w:t>
            </w:r>
          </w:p>
        </w:tc>
      </w:tr>
    </w:tbl>
    <w:p w14:paraId="550F8F9C" w14:textId="77777777" w:rsidR="00B343CD" w:rsidRDefault="00B343CD" w:rsidP="00FA7D18">
      <w:pPr>
        <w:pStyle w:val="a3"/>
        <w:spacing w:before="4"/>
        <w:rPr>
          <w:rFonts w:ascii="Arial"/>
          <w:b/>
          <w:sz w:val="23"/>
        </w:rPr>
      </w:pPr>
    </w:p>
    <w:p w14:paraId="5105420A" w14:textId="77777777" w:rsidR="00EC6F17" w:rsidRPr="00622633" w:rsidRDefault="00EC6F17" w:rsidP="00FA7D18">
      <w:pPr>
        <w:rPr>
          <w:rFonts w:ascii="Arial" w:hAnsi="Arial" w:cs="Arial"/>
          <w:i/>
          <w:sz w:val="20"/>
          <w:szCs w:val="20"/>
          <w:lang w:val="az-Latn-AZ"/>
        </w:rPr>
      </w:pPr>
      <w:r w:rsidRPr="00622633">
        <w:rPr>
          <w:rFonts w:ascii="Arial" w:hAnsi="Arial" w:cs="Arial"/>
          <w:b/>
          <w:i/>
          <w:sz w:val="20"/>
          <w:szCs w:val="20"/>
          <w:lang w:val="az-Latn-AZ"/>
        </w:rPr>
        <w:t>*</w:t>
      </w:r>
      <w:proofErr w:type="spellStart"/>
      <w:r w:rsidRPr="00622633">
        <w:rPr>
          <w:rFonts w:ascii="Arial" w:hAnsi="Arial" w:cs="Arial"/>
          <w:i/>
          <w:sz w:val="20"/>
          <w:szCs w:val="20"/>
          <w:lang w:val="az-Latn-AZ"/>
        </w:rPr>
        <w:t>nağdlaşdırma</w:t>
      </w:r>
      <w:proofErr w:type="spellEnd"/>
      <w:r w:rsidRPr="00622633">
        <w:rPr>
          <w:rFonts w:ascii="Arial" w:hAnsi="Arial" w:cs="Arial"/>
          <w:i/>
          <w:sz w:val="20"/>
          <w:szCs w:val="20"/>
          <w:lang w:val="az-Latn-AZ"/>
        </w:rPr>
        <w:t xml:space="preserve"> əməliyyatları</w:t>
      </w:r>
    </w:p>
    <w:p w14:paraId="51C368D3" w14:textId="77777777" w:rsidR="00EC6F17" w:rsidRPr="00622633" w:rsidRDefault="00EC6F17" w:rsidP="00FA7D18">
      <w:pPr>
        <w:rPr>
          <w:rFonts w:ascii="Arial" w:hAnsi="Arial" w:cs="Arial"/>
          <w:i/>
          <w:sz w:val="20"/>
          <w:szCs w:val="20"/>
          <w:lang w:val="az-Latn-AZ"/>
        </w:rPr>
      </w:pPr>
      <w:r w:rsidRPr="00622633">
        <w:rPr>
          <w:rFonts w:ascii="Arial" w:hAnsi="Arial" w:cs="Arial"/>
          <w:b/>
          <w:i/>
          <w:sz w:val="20"/>
          <w:szCs w:val="20"/>
          <w:lang w:val="az-Latn-AZ"/>
        </w:rPr>
        <w:t>**</w:t>
      </w:r>
      <w:r w:rsidRPr="00622633">
        <w:rPr>
          <w:rFonts w:ascii="Arial" w:hAnsi="Arial" w:cs="Arial"/>
          <w:i/>
          <w:sz w:val="20"/>
          <w:szCs w:val="20"/>
          <w:lang w:val="az-Latn-AZ"/>
        </w:rPr>
        <w:t xml:space="preserve">mal və xidmətin (işlərin) dəyərinin </w:t>
      </w:r>
      <w:proofErr w:type="spellStart"/>
      <w:r w:rsidRPr="00622633">
        <w:rPr>
          <w:rFonts w:ascii="Arial" w:hAnsi="Arial" w:cs="Arial"/>
          <w:i/>
          <w:sz w:val="20"/>
          <w:szCs w:val="20"/>
          <w:lang w:val="az-Latn-AZ"/>
        </w:rPr>
        <w:t>pos</w:t>
      </w:r>
      <w:proofErr w:type="spellEnd"/>
      <w:r w:rsidRPr="00622633">
        <w:rPr>
          <w:rFonts w:ascii="Arial" w:hAnsi="Arial" w:cs="Arial"/>
          <w:i/>
          <w:sz w:val="20"/>
          <w:szCs w:val="20"/>
          <w:lang w:val="az-Latn-AZ"/>
        </w:rPr>
        <w:t xml:space="preserve"> –terminallar vasitəsilə ödənilməsi</w:t>
      </w:r>
    </w:p>
    <w:p w14:paraId="509955C5" w14:textId="77777777" w:rsidR="00B343CD" w:rsidRDefault="00EC6F17" w:rsidP="00FA7D18">
      <w:pPr>
        <w:pStyle w:val="a3"/>
        <w:spacing w:before="4"/>
        <w:rPr>
          <w:rFonts w:ascii="Arial" w:hAnsi="Arial" w:cs="Arial"/>
          <w:i/>
          <w:sz w:val="20"/>
          <w:szCs w:val="20"/>
          <w:lang w:val="az-Latn-AZ"/>
        </w:rPr>
      </w:pPr>
      <w:r w:rsidRPr="00622633">
        <w:rPr>
          <w:rFonts w:ascii="Arial" w:hAnsi="Arial" w:cs="Arial"/>
          <w:b/>
          <w:i/>
          <w:sz w:val="20"/>
          <w:szCs w:val="20"/>
          <w:lang w:val="az-Latn-AZ"/>
        </w:rPr>
        <w:t>***</w:t>
      </w:r>
      <w:r w:rsidRPr="00622633">
        <w:rPr>
          <w:rFonts w:ascii="Arial" w:hAnsi="Arial" w:cs="Arial"/>
          <w:i/>
          <w:sz w:val="20"/>
          <w:szCs w:val="20"/>
          <w:lang w:val="az-Latn-AZ"/>
        </w:rPr>
        <w:t xml:space="preserve">mal və xidmətin (işlərin) dəyərinin </w:t>
      </w:r>
      <w:proofErr w:type="spellStart"/>
      <w:r w:rsidRPr="00622633">
        <w:rPr>
          <w:rFonts w:ascii="Arial" w:hAnsi="Arial" w:cs="Arial"/>
          <w:i/>
          <w:sz w:val="20"/>
          <w:szCs w:val="20"/>
          <w:lang w:val="az-Latn-AZ"/>
        </w:rPr>
        <w:t>onlayn</w:t>
      </w:r>
      <w:proofErr w:type="spellEnd"/>
      <w:r w:rsidRPr="00622633">
        <w:rPr>
          <w:rFonts w:ascii="Arial" w:hAnsi="Arial" w:cs="Arial"/>
          <w:i/>
          <w:sz w:val="20"/>
          <w:szCs w:val="20"/>
          <w:lang w:val="az-Latn-AZ"/>
        </w:rPr>
        <w:t xml:space="preserve"> (elektron kommersiya) ödənilməsi</w:t>
      </w:r>
    </w:p>
    <w:p w14:paraId="257C4EB8" w14:textId="77777777" w:rsidR="00EC6F17" w:rsidRDefault="00EC6F17" w:rsidP="00FA7D18">
      <w:pPr>
        <w:pStyle w:val="a3"/>
        <w:spacing w:before="4"/>
      </w:pPr>
    </w:p>
    <w:p w14:paraId="2CE4AEC1" w14:textId="77777777" w:rsidR="005A2EC5" w:rsidRDefault="005A2EC5" w:rsidP="00FA7D18">
      <w:pPr>
        <w:pStyle w:val="a5"/>
        <w:widowControl/>
        <w:numPr>
          <w:ilvl w:val="1"/>
          <w:numId w:val="16"/>
        </w:numPr>
        <w:tabs>
          <w:tab w:val="left" w:pos="1276"/>
        </w:tabs>
        <w:autoSpaceDE/>
        <w:autoSpaceDN/>
        <w:spacing w:before="120" w:after="120"/>
        <w:ind w:left="0" w:firstLine="7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Kartlar üzrə qanunvericiliyə uyğun aşağıdakı limitlər tətbiq edilir:</w:t>
      </w:r>
    </w:p>
    <w:p w14:paraId="0F93945D" w14:textId="3E8CCFD4" w:rsidR="005A2EC5" w:rsidRDefault="00822F84" w:rsidP="00C9065F">
      <w:pPr>
        <w:pStyle w:val="a5"/>
        <w:widowControl/>
        <w:numPr>
          <w:ilvl w:val="0"/>
          <w:numId w:val="20"/>
        </w:numPr>
        <w:tabs>
          <w:tab w:val="left" w:pos="1276"/>
        </w:tabs>
        <w:autoSpaceDE/>
        <w:autoSpaceDN/>
        <w:spacing w:before="120"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5A2EC5">
        <w:rPr>
          <w:rFonts w:ascii="Arial" w:hAnsi="Arial" w:cs="Arial"/>
          <w:sz w:val="24"/>
          <w:szCs w:val="24"/>
          <w:lang w:val="az-Latn-AZ"/>
        </w:rPr>
        <w:t>Hüquqi şəxslər və fərdi sahibkarlar üçün k</w:t>
      </w:r>
      <w:r w:rsidR="00EC6F17" w:rsidRPr="005A2EC5">
        <w:rPr>
          <w:rFonts w:ascii="Arial" w:hAnsi="Arial" w:cs="Arial"/>
          <w:sz w:val="24"/>
          <w:szCs w:val="24"/>
          <w:lang w:val="az-Latn-AZ"/>
        </w:rPr>
        <w:t xml:space="preserve">artlardan ölkə daxilində aylıq </w:t>
      </w:r>
      <w:proofErr w:type="spellStart"/>
      <w:r w:rsidR="00EC6F17" w:rsidRPr="005A2EC5">
        <w:rPr>
          <w:rFonts w:ascii="Arial" w:hAnsi="Arial" w:cs="Arial"/>
          <w:sz w:val="24"/>
          <w:szCs w:val="24"/>
          <w:lang w:val="az-Latn-AZ"/>
        </w:rPr>
        <w:t>nağdlaşdırma</w:t>
      </w:r>
      <w:proofErr w:type="spellEnd"/>
      <w:r w:rsidR="00EC6F17" w:rsidRPr="005A2EC5">
        <w:rPr>
          <w:rFonts w:ascii="Arial" w:hAnsi="Arial" w:cs="Arial"/>
          <w:sz w:val="24"/>
          <w:szCs w:val="24"/>
          <w:lang w:val="az-Latn-AZ"/>
        </w:rPr>
        <w:t xml:space="preserve"> limiti</w:t>
      </w:r>
      <w:r w:rsidR="00F76F1C" w:rsidRPr="005A2EC5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2BAF6B15" w14:textId="01F239B4" w:rsidR="00EC6F17" w:rsidRDefault="00EC6F17" w:rsidP="005A2EC5">
      <w:pPr>
        <w:pStyle w:val="a5"/>
        <w:widowControl/>
        <w:numPr>
          <w:ilvl w:val="0"/>
          <w:numId w:val="20"/>
        </w:numPr>
        <w:tabs>
          <w:tab w:val="left" w:pos="1276"/>
        </w:tabs>
        <w:autoSpaceDE/>
        <w:autoSpaceDN/>
        <w:spacing w:before="120"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5A2EC5">
        <w:rPr>
          <w:rFonts w:ascii="Arial" w:hAnsi="Arial" w:cs="Arial"/>
          <w:sz w:val="24"/>
          <w:szCs w:val="24"/>
          <w:lang w:val="az-Latn-AZ"/>
        </w:rPr>
        <w:t xml:space="preserve">Kartlardan ölkə xaricində aylıq </w:t>
      </w:r>
      <w:proofErr w:type="spellStart"/>
      <w:r w:rsidRPr="005A2EC5">
        <w:rPr>
          <w:rFonts w:ascii="Arial" w:hAnsi="Arial" w:cs="Arial"/>
          <w:sz w:val="24"/>
          <w:szCs w:val="24"/>
          <w:lang w:val="az-Latn-AZ"/>
        </w:rPr>
        <w:t>nağdlaşdırma</w:t>
      </w:r>
      <w:proofErr w:type="spellEnd"/>
      <w:r w:rsidRPr="005A2EC5">
        <w:rPr>
          <w:rFonts w:ascii="Arial" w:hAnsi="Arial" w:cs="Arial"/>
          <w:sz w:val="24"/>
          <w:szCs w:val="24"/>
          <w:lang w:val="az-Latn-AZ"/>
        </w:rPr>
        <w:t xml:space="preserve"> limiti </w:t>
      </w:r>
    </w:p>
    <w:p w14:paraId="03ABE06C" w14:textId="77777777" w:rsidR="005A2EC5" w:rsidRDefault="005A2EC5" w:rsidP="005A2EC5">
      <w:pPr>
        <w:pStyle w:val="a5"/>
        <w:widowControl/>
        <w:numPr>
          <w:ilvl w:val="0"/>
          <w:numId w:val="20"/>
        </w:numPr>
        <w:tabs>
          <w:tab w:val="left" w:pos="1276"/>
        </w:tabs>
        <w:autoSpaceDE/>
        <w:autoSpaceDN/>
        <w:spacing w:before="120"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E31EA3">
        <w:rPr>
          <w:rFonts w:ascii="Arial" w:hAnsi="Arial" w:cs="Arial"/>
          <w:sz w:val="24"/>
          <w:szCs w:val="24"/>
          <w:lang w:val="az-Latn-AZ"/>
        </w:rPr>
        <w:t xml:space="preserve">İstifadəçisi </w:t>
      </w:r>
      <w:proofErr w:type="spellStart"/>
      <w:r w:rsidRPr="00E31EA3">
        <w:rPr>
          <w:rFonts w:ascii="Arial" w:hAnsi="Arial" w:cs="Arial"/>
          <w:sz w:val="24"/>
          <w:szCs w:val="24"/>
          <w:lang w:val="az-Latn-AZ"/>
        </w:rPr>
        <w:t>eyniləşdirilmiş</w:t>
      </w:r>
      <w:proofErr w:type="spellEnd"/>
      <w:r w:rsidRPr="00E31EA3">
        <w:rPr>
          <w:rFonts w:ascii="Arial" w:hAnsi="Arial" w:cs="Arial"/>
          <w:sz w:val="24"/>
          <w:szCs w:val="24"/>
          <w:lang w:val="az-Latn-AZ"/>
        </w:rPr>
        <w:t xml:space="preserve"> yüklənə bilən əvvəlcədən ödənilmiş kart</w:t>
      </w:r>
      <w:r>
        <w:rPr>
          <w:rFonts w:ascii="Arial" w:hAnsi="Arial" w:cs="Arial"/>
          <w:sz w:val="24"/>
          <w:szCs w:val="24"/>
          <w:lang w:val="az-Latn-AZ"/>
        </w:rPr>
        <w:t>lardan</w:t>
      </w:r>
      <w:r w:rsidRPr="00E31EA3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illik</w:t>
      </w:r>
      <w:r w:rsidRPr="00E31EA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A51A87">
        <w:rPr>
          <w:rFonts w:ascii="Arial" w:hAnsi="Arial" w:cs="Arial"/>
          <w:sz w:val="24"/>
          <w:szCs w:val="24"/>
          <w:lang w:val="az-Latn-AZ"/>
        </w:rPr>
        <w:t>nağdlaşdırma</w:t>
      </w:r>
      <w:proofErr w:type="spellEnd"/>
      <w:r w:rsidRPr="00A51A87">
        <w:rPr>
          <w:rFonts w:ascii="Arial" w:hAnsi="Arial" w:cs="Arial"/>
          <w:sz w:val="24"/>
          <w:szCs w:val="24"/>
          <w:lang w:val="az-Latn-AZ"/>
        </w:rPr>
        <w:t xml:space="preserve"> limiti</w:t>
      </w:r>
    </w:p>
    <w:p w14:paraId="73CD2FE6" w14:textId="77777777" w:rsidR="005A2EC5" w:rsidRDefault="005A2EC5" w:rsidP="005A2EC5">
      <w:pPr>
        <w:pStyle w:val="a5"/>
        <w:widowControl/>
        <w:numPr>
          <w:ilvl w:val="0"/>
          <w:numId w:val="20"/>
        </w:numPr>
        <w:tabs>
          <w:tab w:val="left" w:pos="1276"/>
        </w:tabs>
        <w:autoSpaceDE/>
        <w:autoSpaceDN/>
        <w:spacing w:before="120"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FC0923">
        <w:rPr>
          <w:rFonts w:ascii="Arial" w:hAnsi="Arial" w:cs="Arial"/>
          <w:sz w:val="24"/>
          <w:szCs w:val="24"/>
          <w:lang w:val="az-Latn-AZ"/>
        </w:rPr>
        <w:lastRenderedPageBreak/>
        <w:t xml:space="preserve">İstifadəçisi </w:t>
      </w:r>
      <w:proofErr w:type="spellStart"/>
      <w:r w:rsidRPr="00FC0923">
        <w:rPr>
          <w:rFonts w:ascii="Arial" w:hAnsi="Arial" w:cs="Arial"/>
          <w:sz w:val="24"/>
          <w:szCs w:val="24"/>
          <w:lang w:val="az-Latn-AZ"/>
        </w:rPr>
        <w:t>eyniləşdirilməyən</w:t>
      </w:r>
      <w:proofErr w:type="spellEnd"/>
      <w:r w:rsidRPr="00FC0923">
        <w:rPr>
          <w:rFonts w:ascii="Arial" w:hAnsi="Arial" w:cs="Arial"/>
          <w:sz w:val="24"/>
          <w:szCs w:val="24"/>
          <w:lang w:val="az-Latn-AZ"/>
        </w:rPr>
        <w:t xml:space="preserve"> yüklənə bilən əvvəlcədən ödənilmiş kart üzrə pul vəsaitinin həcmi </w:t>
      </w:r>
    </w:p>
    <w:p w14:paraId="21B39241" w14:textId="77777777" w:rsidR="005A2EC5" w:rsidRPr="005A2EC5" w:rsidRDefault="005A2EC5" w:rsidP="00C9065F">
      <w:pPr>
        <w:pStyle w:val="a5"/>
        <w:widowControl/>
        <w:numPr>
          <w:ilvl w:val="0"/>
          <w:numId w:val="20"/>
        </w:numPr>
        <w:tabs>
          <w:tab w:val="left" w:pos="1276"/>
        </w:tabs>
        <w:autoSpaceDE/>
        <w:autoSpaceDN/>
        <w:spacing w:before="120"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Digər əməliyyatlar</w:t>
      </w:r>
    </w:p>
    <w:p w14:paraId="00FE794B" w14:textId="686A88EC" w:rsidR="009167B8" w:rsidRPr="009167B8" w:rsidRDefault="007044FB" w:rsidP="009167B8">
      <w:pPr>
        <w:pStyle w:val="a5"/>
        <w:widowControl/>
        <w:numPr>
          <w:ilvl w:val="1"/>
          <w:numId w:val="16"/>
        </w:numPr>
        <w:tabs>
          <w:tab w:val="left" w:pos="1276"/>
        </w:tabs>
        <w:autoSpaceDE/>
        <w:autoSpaceDN/>
        <w:spacing w:before="120" w:after="120"/>
        <w:ind w:left="0" w:firstLine="7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Korporativ kartlardan </w:t>
      </w:r>
      <w:r w:rsidR="00C9065F">
        <w:rPr>
          <w:rFonts w:ascii="Arial" w:hAnsi="Arial" w:cs="Arial"/>
          <w:sz w:val="24"/>
          <w:szCs w:val="24"/>
          <w:lang w:val="az-Latn-AZ"/>
        </w:rPr>
        <w:t xml:space="preserve">fiziki şəxslərin </w:t>
      </w:r>
      <w:r>
        <w:rPr>
          <w:rFonts w:ascii="Arial" w:hAnsi="Arial" w:cs="Arial"/>
          <w:sz w:val="24"/>
          <w:szCs w:val="24"/>
          <w:lang w:val="az-Latn-AZ"/>
        </w:rPr>
        <w:t xml:space="preserve">bank kartlarına vəsaitin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köcürülməsi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qadağandır.</w:t>
      </w:r>
    </w:p>
    <w:p w14:paraId="4CA0A8E8" w14:textId="77777777" w:rsidR="00E31EA3" w:rsidRPr="00E31EA3" w:rsidRDefault="00E31EA3" w:rsidP="00E31EA3">
      <w:pPr>
        <w:pStyle w:val="a5"/>
        <w:widowControl/>
        <w:tabs>
          <w:tab w:val="left" w:pos="1276"/>
        </w:tabs>
        <w:autoSpaceDE/>
        <w:autoSpaceDN/>
        <w:spacing w:before="120" w:after="120"/>
        <w:ind w:left="720" w:firstLine="0"/>
        <w:jc w:val="both"/>
        <w:rPr>
          <w:sz w:val="24"/>
          <w:lang w:val="az-Latn-AZ"/>
        </w:rPr>
      </w:pPr>
    </w:p>
    <w:p w14:paraId="4A7CB0AF" w14:textId="77777777" w:rsidR="00B343CD" w:rsidRPr="00F76F1C" w:rsidRDefault="0062675C" w:rsidP="00FA7D18">
      <w:pPr>
        <w:pStyle w:val="1"/>
        <w:numPr>
          <w:ilvl w:val="0"/>
          <w:numId w:val="2"/>
        </w:numPr>
        <w:ind w:left="749" w:hanging="323"/>
        <w:jc w:val="left"/>
      </w:pPr>
      <w:r>
        <w:t>Beynəlxalq ödəniş sistemləri tərəfindən qəbul edilmiş “Məsuliyyətin ötürülməsi</w:t>
      </w:r>
      <w:r w:rsidRPr="00F76F1C">
        <w:t xml:space="preserve"> </w:t>
      </w:r>
      <w:proofErr w:type="spellStart"/>
      <w:r>
        <w:t>qaydalar”ının</w:t>
      </w:r>
      <w:proofErr w:type="spellEnd"/>
      <w:r w:rsidRPr="00F76F1C">
        <w:t xml:space="preserve"> </w:t>
      </w:r>
      <w:r>
        <w:t>(</w:t>
      </w:r>
      <w:proofErr w:type="spellStart"/>
      <w:r>
        <w:t>liability</w:t>
      </w:r>
      <w:proofErr w:type="spellEnd"/>
      <w:r w:rsidRPr="00F76F1C">
        <w:t xml:space="preserve"> </w:t>
      </w:r>
      <w:proofErr w:type="spellStart"/>
      <w:r>
        <w:t>shift</w:t>
      </w:r>
      <w:proofErr w:type="spellEnd"/>
      <w:r w:rsidRPr="00F76F1C">
        <w:t xml:space="preserve"> </w:t>
      </w:r>
      <w:proofErr w:type="spellStart"/>
      <w:r>
        <w:t>rule</w:t>
      </w:r>
      <w:proofErr w:type="spellEnd"/>
      <w:r>
        <w:t>)</w:t>
      </w:r>
      <w:r w:rsidRPr="00F76F1C">
        <w:t xml:space="preserve"> </w:t>
      </w:r>
      <w:r>
        <w:t>tətbiq</w:t>
      </w:r>
      <w:r w:rsidRPr="00F76F1C">
        <w:t xml:space="preserve"> </w:t>
      </w:r>
      <w:proofErr w:type="spellStart"/>
      <w:r>
        <w:t>edilmədiyi</w:t>
      </w:r>
      <w:proofErr w:type="spellEnd"/>
      <w:r w:rsidRPr="00F76F1C">
        <w:t xml:space="preserve"> </w:t>
      </w:r>
      <w:r>
        <w:t>ölkələr</w:t>
      </w:r>
      <w:r w:rsidRPr="00F76F1C">
        <w:t xml:space="preserve"> </w:t>
      </w:r>
      <w:r>
        <w:t>üzrə</w:t>
      </w:r>
      <w:r w:rsidRPr="00F76F1C">
        <w:t xml:space="preserve"> </w:t>
      </w:r>
      <w:r>
        <w:t>müəyyən</w:t>
      </w:r>
      <w:r w:rsidRPr="00F76F1C">
        <w:t xml:space="preserve"> </w:t>
      </w:r>
      <w:r>
        <w:t>edilmiş</w:t>
      </w:r>
      <w:r w:rsidR="00F76F1C">
        <w:t xml:space="preserve"> m</w:t>
      </w:r>
      <w:r w:rsidRPr="00EC6F17">
        <w:t>əhdudiyyətlər</w:t>
      </w:r>
      <w:r w:rsidRPr="00F76F1C">
        <w:t xml:space="preserve"> </w:t>
      </w:r>
      <w:r w:rsidRPr="00EC6F17">
        <w:t>(limitlər)</w:t>
      </w:r>
    </w:p>
    <w:p w14:paraId="2C9312B3" w14:textId="77777777" w:rsidR="00B343CD" w:rsidRDefault="00B343CD" w:rsidP="00FA7D18">
      <w:pPr>
        <w:pStyle w:val="a3"/>
        <w:rPr>
          <w:rFonts w:ascii="Arial"/>
          <w:b/>
          <w:sz w:val="20"/>
        </w:rPr>
      </w:pPr>
    </w:p>
    <w:p w14:paraId="5CF9DECB" w14:textId="77777777" w:rsidR="00F76F1C" w:rsidRDefault="00F76F1C" w:rsidP="00FA7D18">
      <w:pPr>
        <w:pStyle w:val="a5"/>
        <w:widowControl/>
        <w:numPr>
          <w:ilvl w:val="1"/>
          <w:numId w:val="3"/>
        </w:numPr>
        <w:autoSpaceDE/>
        <w:autoSpaceDN/>
        <w:ind w:righ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Əməliyyatı qadağan edilmiş ölkələrin siyahısına aşağıdakı ölkələr daxildir:</w:t>
      </w:r>
    </w:p>
    <w:p w14:paraId="78E50608" w14:textId="77777777" w:rsidR="00F76F1C" w:rsidRDefault="00F76F1C" w:rsidP="00FA7D18">
      <w:pPr>
        <w:pStyle w:val="a5"/>
        <w:widowControl/>
        <w:numPr>
          <w:ilvl w:val="0"/>
          <w:numId w:val="17"/>
        </w:numPr>
        <w:autoSpaceDE/>
        <w:autoSpaceDN/>
        <w:spacing w:before="120" w:after="120"/>
        <w:ind w:left="1066" w:right="113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622633">
        <w:rPr>
          <w:rFonts w:ascii="Arial" w:hAnsi="Arial" w:cs="Arial"/>
          <w:sz w:val="24"/>
          <w:szCs w:val="24"/>
          <w:lang w:val="az-Latn-AZ"/>
        </w:rPr>
        <w:t xml:space="preserve">“Məsuliyyətin ötürülməsi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qaydalar”ının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(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liability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shift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rule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>) tətbiq edil</w:t>
      </w:r>
      <w:r>
        <w:rPr>
          <w:rFonts w:ascii="Arial" w:hAnsi="Arial" w:cs="Arial"/>
          <w:sz w:val="24"/>
          <w:szCs w:val="24"/>
          <w:lang w:val="az-Latn-AZ"/>
        </w:rPr>
        <w:t xml:space="preserve">diyi </w:t>
      </w:r>
      <w:r w:rsidRPr="00622633">
        <w:rPr>
          <w:rFonts w:ascii="Arial" w:hAnsi="Arial" w:cs="Arial"/>
          <w:sz w:val="24"/>
          <w:szCs w:val="24"/>
          <w:lang w:val="az-Latn-AZ"/>
        </w:rPr>
        <w:t>ölkələr</w:t>
      </w:r>
    </w:p>
    <w:p w14:paraId="05255D84" w14:textId="77777777" w:rsidR="00F76F1C" w:rsidRDefault="00F76F1C" w:rsidP="00FA7D18">
      <w:pPr>
        <w:pStyle w:val="a5"/>
        <w:widowControl/>
        <w:numPr>
          <w:ilvl w:val="0"/>
          <w:numId w:val="17"/>
        </w:numPr>
        <w:autoSpaceDE/>
        <w:autoSpaceDN/>
        <w:spacing w:before="120" w:after="120"/>
        <w:ind w:left="1066" w:right="113" w:hanging="35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</w:t>
      </w:r>
      <w:r w:rsidRPr="007C6921">
        <w:rPr>
          <w:rFonts w:ascii="Arial" w:hAnsi="Arial" w:cs="Arial"/>
          <w:sz w:val="24"/>
          <w:szCs w:val="24"/>
          <w:lang w:val="az-Latn-AZ"/>
        </w:rPr>
        <w:t>aliyyə Bazarlarına Nəzarət qurumu</w:t>
      </w:r>
      <w:r>
        <w:rPr>
          <w:rFonts w:ascii="Arial" w:hAnsi="Arial" w:cs="Arial"/>
          <w:sz w:val="24"/>
          <w:szCs w:val="24"/>
          <w:lang w:val="az-Latn-AZ"/>
        </w:rPr>
        <w:t xml:space="preserve"> tərəfindən </w:t>
      </w:r>
      <w:r w:rsidRPr="007C6921">
        <w:rPr>
          <w:rFonts w:ascii="Arial" w:hAnsi="Arial" w:cs="Arial"/>
          <w:sz w:val="24"/>
          <w:szCs w:val="24"/>
          <w:lang w:val="az-Latn-AZ"/>
        </w:rPr>
        <w:t>əməliyyatları qadağan edilmiş ölkələr</w:t>
      </w:r>
    </w:p>
    <w:p w14:paraId="05814721" w14:textId="77777777" w:rsidR="00F76F1C" w:rsidRDefault="00F76F1C" w:rsidP="00FA7D18">
      <w:pPr>
        <w:pStyle w:val="a5"/>
        <w:widowControl/>
        <w:numPr>
          <w:ilvl w:val="0"/>
          <w:numId w:val="17"/>
        </w:numPr>
        <w:autoSpaceDE/>
        <w:autoSpaceDN/>
        <w:spacing w:before="120" w:after="120"/>
        <w:ind w:left="1066" w:right="113" w:hanging="357"/>
        <w:jc w:val="both"/>
        <w:rPr>
          <w:rFonts w:ascii="Arial" w:hAnsi="Arial" w:cs="Arial"/>
          <w:sz w:val="24"/>
          <w:szCs w:val="24"/>
          <w:lang w:val="az-Latn-AZ"/>
        </w:rPr>
      </w:pPr>
      <w:r w:rsidRPr="007C6921">
        <w:rPr>
          <w:rFonts w:ascii="Arial" w:hAnsi="Arial" w:cs="Arial"/>
          <w:sz w:val="24"/>
          <w:szCs w:val="24"/>
          <w:lang w:val="az-Latn-AZ"/>
        </w:rPr>
        <w:t>Maliyyə Monitorinqi Xidməti</w:t>
      </w:r>
      <w:r>
        <w:rPr>
          <w:rFonts w:ascii="Arial" w:hAnsi="Arial" w:cs="Arial"/>
          <w:sz w:val="24"/>
          <w:szCs w:val="24"/>
          <w:lang w:val="az-Latn-AZ"/>
        </w:rPr>
        <w:t xml:space="preserve"> tərəfindən </w:t>
      </w:r>
      <w:r w:rsidRPr="007C6921">
        <w:rPr>
          <w:rFonts w:ascii="Arial" w:hAnsi="Arial" w:cs="Arial"/>
          <w:sz w:val="24"/>
          <w:szCs w:val="24"/>
          <w:lang w:val="az-Latn-AZ"/>
        </w:rPr>
        <w:t>əməliyyatları qadağan edilmiş ölkələr</w:t>
      </w:r>
    </w:p>
    <w:p w14:paraId="4B927CFA" w14:textId="77777777" w:rsidR="00EC6F17" w:rsidRPr="00622633" w:rsidRDefault="00EC6F17" w:rsidP="00FA7D18">
      <w:pPr>
        <w:pStyle w:val="a5"/>
        <w:widowControl/>
        <w:numPr>
          <w:ilvl w:val="1"/>
          <w:numId w:val="3"/>
        </w:numPr>
        <w:autoSpaceDE/>
        <w:autoSpaceDN/>
        <w:spacing w:before="120" w:after="120"/>
        <w:ind w:right="0"/>
        <w:jc w:val="both"/>
        <w:rPr>
          <w:rFonts w:ascii="Arial" w:hAnsi="Arial" w:cs="Arial"/>
          <w:sz w:val="24"/>
          <w:szCs w:val="24"/>
          <w:lang w:val="az-Latn-AZ"/>
        </w:rPr>
      </w:pPr>
      <w:r w:rsidRPr="00622633">
        <w:rPr>
          <w:rFonts w:ascii="Arial" w:hAnsi="Arial" w:cs="Arial"/>
          <w:sz w:val="24"/>
          <w:szCs w:val="24"/>
          <w:lang w:val="az-Latn-AZ"/>
        </w:rPr>
        <w:t xml:space="preserve">“Məsuliyyətin ötürülməsi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qaydalar”ının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(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liability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shift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rule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) tətbiq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edilmədiyi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ölkələrdə maqnit lent üzərindən həyata keçirilən əməliyyatlar yüksək risk daşıması səbəbindən sistem üzərindən bloklanıl</w:t>
      </w:r>
      <w:r w:rsidR="00FA7D18">
        <w:rPr>
          <w:rFonts w:ascii="Arial" w:hAnsi="Arial" w:cs="Arial"/>
          <w:sz w:val="24"/>
          <w:szCs w:val="24"/>
          <w:lang w:val="az-Latn-AZ"/>
        </w:rPr>
        <w:t>ır</w:t>
      </w:r>
      <w:r w:rsidRPr="00622633">
        <w:rPr>
          <w:rFonts w:ascii="Arial" w:hAnsi="Arial" w:cs="Arial"/>
          <w:sz w:val="24"/>
          <w:szCs w:val="24"/>
          <w:lang w:val="az-Latn-AZ"/>
        </w:rPr>
        <w:t>.</w:t>
      </w:r>
    </w:p>
    <w:p w14:paraId="4DD1614E" w14:textId="77777777" w:rsidR="00EC6F17" w:rsidRPr="00622633" w:rsidRDefault="00EC6F17" w:rsidP="00FA7D18">
      <w:pPr>
        <w:pStyle w:val="a5"/>
        <w:widowControl/>
        <w:numPr>
          <w:ilvl w:val="1"/>
          <w:numId w:val="3"/>
        </w:numPr>
        <w:autoSpaceDE/>
        <w:autoSpaceDN/>
        <w:spacing w:before="120" w:after="120"/>
        <w:ind w:right="0"/>
        <w:jc w:val="both"/>
        <w:rPr>
          <w:rFonts w:ascii="Arial" w:hAnsi="Arial" w:cs="Arial"/>
          <w:sz w:val="24"/>
          <w:szCs w:val="24"/>
          <w:lang w:val="az-Latn-AZ"/>
        </w:rPr>
      </w:pPr>
      <w:r w:rsidRPr="00622633">
        <w:rPr>
          <w:rFonts w:ascii="Arial" w:hAnsi="Arial" w:cs="Arial"/>
          <w:sz w:val="24"/>
          <w:szCs w:val="24"/>
          <w:lang w:val="az-Latn-AZ"/>
        </w:rPr>
        <w:t xml:space="preserve">Hesab sahibinin “Məsuliyyətin ötürülməsi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qaydalar”ının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(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liability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shift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rule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) tətbiq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edilmədiyi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ölkələrə mümkün səyahəti zamanı əvvəlcədən yazılı müraciəti əsasında qeyd edilən müddətə kart sistem üzərindən istisna siyahısına əlavə edilə bilər.</w:t>
      </w:r>
    </w:p>
    <w:p w14:paraId="748EC90C" w14:textId="4034D4E6" w:rsidR="00EC6F17" w:rsidRPr="00622633" w:rsidRDefault="00EC6F17" w:rsidP="00FA7D18">
      <w:pPr>
        <w:pStyle w:val="a5"/>
        <w:widowControl/>
        <w:numPr>
          <w:ilvl w:val="1"/>
          <w:numId w:val="3"/>
        </w:numPr>
        <w:autoSpaceDE/>
        <w:autoSpaceDN/>
        <w:spacing w:before="120" w:after="120"/>
        <w:ind w:right="0"/>
        <w:jc w:val="both"/>
        <w:rPr>
          <w:rFonts w:ascii="Arial" w:hAnsi="Arial" w:cs="Arial"/>
          <w:sz w:val="24"/>
          <w:szCs w:val="24"/>
          <w:lang w:val="az-Latn-AZ"/>
        </w:rPr>
      </w:pPr>
      <w:r w:rsidRPr="00622633">
        <w:rPr>
          <w:rFonts w:ascii="Arial" w:hAnsi="Arial" w:cs="Arial"/>
          <w:sz w:val="24"/>
          <w:szCs w:val="24"/>
          <w:lang w:val="az-Latn-AZ"/>
        </w:rPr>
        <w:t xml:space="preserve">“Məsuliyyətin ötürülməsi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qaydalar”ının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(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liability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shift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rule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) tətbiq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edilmədiyi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ölkələrdə əməliyyatın tipindən (nağd, nağdsız,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onlayn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) asılı olmayaraq </w:t>
      </w:r>
      <w:proofErr w:type="spellStart"/>
      <w:r w:rsidRPr="00622633">
        <w:rPr>
          <w:rFonts w:ascii="Arial" w:hAnsi="Arial" w:cs="Arial"/>
          <w:sz w:val="24"/>
          <w:szCs w:val="24"/>
          <w:lang w:val="az-Latn-AZ"/>
        </w:rPr>
        <w:t>çip</w:t>
      </w:r>
      <w:proofErr w:type="spellEnd"/>
      <w:r w:rsidRPr="00622633">
        <w:rPr>
          <w:rFonts w:ascii="Arial" w:hAnsi="Arial" w:cs="Arial"/>
          <w:sz w:val="24"/>
          <w:szCs w:val="24"/>
          <w:lang w:val="az-Latn-AZ"/>
        </w:rPr>
        <w:t xml:space="preserve"> üzərindən həyata keçirilən əməliyyatlarda birdəfəlik limit </w:t>
      </w:r>
      <w:r w:rsidR="00330C85">
        <w:rPr>
          <w:rFonts w:ascii="Arial" w:hAnsi="Arial" w:cs="Arial"/>
          <w:sz w:val="24"/>
          <w:szCs w:val="24"/>
          <w:lang w:val="az-Latn-AZ"/>
        </w:rPr>
        <w:t>40</w:t>
      </w:r>
      <w:r w:rsidRPr="00622633">
        <w:rPr>
          <w:rFonts w:ascii="Arial" w:hAnsi="Arial" w:cs="Arial"/>
          <w:sz w:val="24"/>
          <w:szCs w:val="24"/>
          <w:lang w:val="az-Latn-AZ"/>
        </w:rPr>
        <w:t>0AZN/</w:t>
      </w:r>
      <w:r w:rsidR="00330C85">
        <w:rPr>
          <w:rFonts w:ascii="Arial" w:hAnsi="Arial" w:cs="Arial"/>
          <w:sz w:val="24"/>
          <w:szCs w:val="24"/>
          <w:lang w:val="az-Latn-AZ"/>
        </w:rPr>
        <w:t>250</w:t>
      </w:r>
      <w:r w:rsidRPr="00622633">
        <w:rPr>
          <w:rFonts w:ascii="Arial" w:hAnsi="Arial" w:cs="Arial"/>
          <w:sz w:val="24"/>
          <w:szCs w:val="24"/>
          <w:lang w:val="az-Latn-AZ"/>
        </w:rPr>
        <w:t>USD/</w:t>
      </w:r>
      <w:r w:rsidR="00330C85">
        <w:rPr>
          <w:rFonts w:ascii="Arial" w:hAnsi="Arial" w:cs="Arial"/>
          <w:sz w:val="24"/>
          <w:szCs w:val="24"/>
          <w:lang w:val="az-Latn-AZ"/>
        </w:rPr>
        <w:t>200</w:t>
      </w:r>
      <w:r w:rsidRPr="00622633">
        <w:rPr>
          <w:rFonts w:ascii="Arial" w:hAnsi="Arial" w:cs="Arial"/>
          <w:sz w:val="24"/>
          <w:szCs w:val="24"/>
          <w:lang w:val="az-Latn-AZ"/>
        </w:rPr>
        <w:t>EUR məbləğində</w:t>
      </w:r>
      <w:r w:rsidR="00FA7D18">
        <w:rPr>
          <w:rFonts w:ascii="Arial" w:hAnsi="Arial" w:cs="Arial"/>
          <w:sz w:val="24"/>
          <w:szCs w:val="24"/>
          <w:lang w:val="az-Latn-AZ"/>
        </w:rPr>
        <w:t xml:space="preserve"> müəyyən edilir</w:t>
      </w:r>
      <w:r w:rsidRPr="00622633">
        <w:rPr>
          <w:rFonts w:ascii="Arial" w:hAnsi="Arial" w:cs="Arial"/>
          <w:sz w:val="24"/>
          <w:szCs w:val="24"/>
          <w:lang w:val="az-Latn-AZ"/>
        </w:rPr>
        <w:t>.</w:t>
      </w:r>
    </w:p>
    <w:p w14:paraId="24C3B7CA" w14:textId="77777777" w:rsidR="00B343CD" w:rsidRDefault="00B343CD" w:rsidP="00FA7D18">
      <w:pPr>
        <w:pStyle w:val="a3"/>
        <w:spacing w:before="10"/>
        <w:rPr>
          <w:sz w:val="20"/>
        </w:rPr>
      </w:pPr>
    </w:p>
    <w:p w14:paraId="036E7F8D" w14:textId="77777777" w:rsidR="00B343CD" w:rsidRDefault="007C6921" w:rsidP="00FA7D18">
      <w:pPr>
        <w:pStyle w:val="1"/>
        <w:numPr>
          <w:ilvl w:val="0"/>
          <w:numId w:val="2"/>
        </w:numPr>
        <w:ind w:left="749" w:hanging="323"/>
        <w:jc w:val="center"/>
      </w:pPr>
      <w:r w:rsidRPr="00622633">
        <w:rPr>
          <w:lang w:val="az-Latn-AZ"/>
        </w:rPr>
        <w:t>Digər məhdudiyyət və qadağalar</w:t>
      </w:r>
    </w:p>
    <w:p w14:paraId="411FFC6B" w14:textId="42EF076B" w:rsidR="007C6921" w:rsidRDefault="00D13EC0" w:rsidP="00FA7D18">
      <w:pPr>
        <w:pStyle w:val="a5"/>
        <w:widowControl/>
        <w:numPr>
          <w:ilvl w:val="1"/>
          <w:numId w:val="11"/>
        </w:numPr>
        <w:autoSpaceDE/>
        <w:autoSpaceDN/>
        <w:spacing w:before="120" w:after="120"/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</w:t>
      </w:r>
      <w:r w:rsidRPr="00D13EC0">
        <w:rPr>
          <w:rFonts w:ascii="Arial" w:hAnsi="Arial" w:cs="Arial"/>
          <w:sz w:val="24"/>
          <w:szCs w:val="24"/>
          <w:lang w:val="az-Latn-AZ"/>
        </w:rPr>
        <w:t>nternet üzərindən qanuni lotereya və mərc oyunları, proqram təminatının satışı, video oyunlar</w:t>
      </w:r>
      <w:r>
        <w:rPr>
          <w:rFonts w:ascii="Arial" w:hAnsi="Arial" w:cs="Arial"/>
          <w:sz w:val="24"/>
          <w:szCs w:val="24"/>
          <w:lang w:val="az-Latn-AZ"/>
        </w:rPr>
        <w:t>a uyğun gələn</w:t>
      </w:r>
      <w:r w:rsidRPr="007C69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7995, 7994, 5734 saylı MCC kodlarla </w:t>
      </w:r>
      <w:proofErr w:type="spellStart"/>
      <w:r w:rsidR="00EC6F17" w:rsidRPr="007C6921">
        <w:rPr>
          <w:rFonts w:ascii="Arial" w:hAnsi="Arial" w:cs="Arial"/>
          <w:sz w:val="24"/>
          <w:szCs w:val="24"/>
          <w:lang w:val="az-Latn-AZ"/>
        </w:rPr>
        <w:t>eyniləşdirilmiş</w:t>
      </w:r>
      <w:proofErr w:type="spellEnd"/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EC6F17" w:rsidRPr="007C6921">
        <w:rPr>
          <w:rFonts w:ascii="Arial" w:hAnsi="Arial" w:cs="Arial"/>
          <w:sz w:val="24"/>
          <w:szCs w:val="24"/>
          <w:lang w:val="az-Latn-AZ"/>
        </w:rPr>
        <w:t>təssərrüfat</w:t>
      </w:r>
      <w:proofErr w:type="spellEnd"/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EC6F17" w:rsidRPr="007C6921">
        <w:rPr>
          <w:rFonts w:ascii="Arial" w:hAnsi="Arial" w:cs="Arial"/>
          <w:sz w:val="24"/>
          <w:szCs w:val="24"/>
          <w:lang w:val="az-Latn-AZ"/>
        </w:rPr>
        <w:t>subyektərində</w:t>
      </w:r>
      <w:proofErr w:type="spellEnd"/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 gündəlik limit </w:t>
      </w:r>
      <w:r w:rsidR="00330C85">
        <w:rPr>
          <w:rFonts w:ascii="Arial" w:hAnsi="Arial" w:cs="Arial"/>
          <w:sz w:val="24"/>
          <w:szCs w:val="24"/>
          <w:lang w:val="az-Latn-AZ"/>
        </w:rPr>
        <w:t>400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>AZN/</w:t>
      </w:r>
      <w:r w:rsidR="00330C85">
        <w:rPr>
          <w:rFonts w:ascii="Arial" w:hAnsi="Arial" w:cs="Arial"/>
          <w:sz w:val="24"/>
          <w:szCs w:val="24"/>
          <w:lang w:val="az-Latn-AZ"/>
        </w:rPr>
        <w:t>250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>USD/</w:t>
      </w:r>
      <w:r w:rsidR="00330C85">
        <w:rPr>
          <w:rFonts w:ascii="Arial" w:hAnsi="Arial" w:cs="Arial"/>
          <w:sz w:val="24"/>
          <w:szCs w:val="24"/>
          <w:lang w:val="az-Latn-AZ"/>
        </w:rPr>
        <w:t>200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>EUR məbləğindədir.</w:t>
      </w:r>
      <w:r>
        <w:rPr>
          <w:rFonts w:ascii="Arial" w:hAnsi="Arial" w:cs="Arial"/>
          <w:sz w:val="24"/>
          <w:szCs w:val="24"/>
          <w:lang w:val="az-Latn-AZ"/>
        </w:rPr>
        <w:t xml:space="preserve"> Beynəlxalq ödəniş sistemləri tərəfindən oxşar əməliyyatlar üzrə yeni kodlar yaradıldığı təqdirdə təyin olunmuş limitlər yeni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kodlarada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tətbiq edilir.</w:t>
      </w:r>
    </w:p>
    <w:p w14:paraId="0323778E" w14:textId="77777777" w:rsidR="009A005B" w:rsidRDefault="009A005B" w:rsidP="00FA7D18">
      <w:pPr>
        <w:pStyle w:val="a5"/>
        <w:widowControl/>
        <w:numPr>
          <w:ilvl w:val="1"/>
          <w:numId w:val="11"/>
        </w:numPr>
        <w:autoSpaceDE/>
        <w:autoSpaceDN/>
        <w:spacing w:before="120" w:after="120"/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7C6921">
        <w:rPr>
          <w:rFonts w:ascii="Arial" w:hAnsi="Arial" w:cs="Arial"/>
          <w:sz w:val="24"/>
          <w:szCs w:val="24"/>
          <w:lang w:val="az-Latn-AZ"/>
        </w:rPr>
        <w:t>Cəmiyyətin emissiya etdiyi</w:t>
      </w:r>
      <w:r w:rsidRPr="009A005B">
        <w:rPr>
          <w:rFonts w:ascii="Arial" w:hAnsi="Arial" w:cs="Arial"/>
          <w:sz w:val="24"/>
          <w:szCs w:val="24"/>
          <w:lang w:val="az-Latn-AZ"/>
        </w:rPr>
        <w:t xml:space="preserve"> istifadəçisi </w:t>
      </w:r>
      <w:proofErr w:type="spellStart"/>
      <w:r w:rsidRPr="009A005B">
        <w:rPr>
          <w:rFonts w:ascii="Arial" w:hAnsi="Arial" w:cs="Arial"/>
          <w:sz w:val="24"/>
          <w:szCs w:val="24"/>
          <w:lang w:val="az-Latn-AZ"/>
        </w:rPr>
        <w:t>eyniləşdirilməyən</w:t>
      </w:r>
      <w:proofErr w:type="spellEnd"/>
      <w:r w:rsidRPr="009A005B">
        <w:rPr>
          <w:rFonts w:ascii="Arial" w:hAnsi="Arial" w:cs="Arial"/>
          <w:sz w:val="24"/>
          <w:szCs w:val="24"/>
          <w:lang w:val="az-Latn-AZ"/>
        </w:rPr>
        <w:t xml:space="preserve"> əvvəlcədən ödənilmiş kartlar</w:t>
      </w:r>
      <w:r>
        <w:rPr>
          <w:rFonts w:ascii="Arial" w:hAnsi="Arial" w:cs="Arial"/>
          <w:sz w:val="24"/>
          <w:szCs w:val="24"/>
          <w:lang w:val="az-Latn-AZ"/>
        </w:rPr>
        <w:t xml:space="preserve"> və korp</w:t>
      </w:r>
      <w:r w:rsidR="00E31EA3">
        <w:rPr>
          <w:rFonts w:ascii="Arial" w:hAnsi="Arial" w:cs="Arial"/>
          <w:sz w:val="24"/>
          <w:szCs w:val="24"/>
          <w:lang w:val="az-Latn-AZ"/>
        </w:rPr>
        <w:t>o</w:t>
      </w:r>
      <w:r>
        <w:rPr>
          <w:rFonts w:ascii="Arial" w:hAnsi="Arial" w:cs="Arial"/>
          <w:sz w:val="24"/>
          <w:szCs w:val="24"/>
          <w:lang w:val="az-Latn-AZ"/>
        </w:rPr>
        <w:t xml:space="preserve">rativ kartlar </w:t>
      </w:r>
      <w:r w:rsidRPr="007C6921">
        <w:rPr>
          <w:rFonts w:ascii="Arial" w:hAnsi="Arial" w:cs="Arial"/>
          <w:sz w:val="24"/>
          <w:szCs w:val="24"/>
          <w:lang w:val="az-Latn-AZ"/>
        </w:rPr>
        <w:t>vasitəsilə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005B">
        <w:rPr>
          <w:rFonts w:ascii="Arial" w:hAnsi="Arial" w:cs="Arial"/>
          <w:sz w:val="24"/>
          <w:szCs w:val="24"/>
          <w:lang w:val="az-Latn-AZ"/>
        </w:rPr>
        <w:t>nağdsız formada öz kart hesabından vəsaitin başqa kart hesabına köçürülməsi</w:t>
      </w:r>
      <w:r>
        <w:rPr>
          <w:rFonts w:ascii="Arial" w:hAnsi="Arial" w:cs="Arial"/>
          <w:sz w:val="24"/>
          <w:szCs w:val="24"/>
          <w:lang w:val="az-Latn-AZ"/>
        </w:rPr>
        <w:t xml:space="preserve"> qadağandır.</w:t>
      </w:r>
    </w:p>
    <w:p w14:paraId="02AE3E88" w14:textId="734C1036" w:rsidR="00B343CD" w:rsidRDefault="009A005B" w:rsidP="00FA7D18">
      <w:pPr>
        <w:pStyle w:val="a5"/>
        <w:widowControl/>
        <w:numPr>
          <w:ilvl w:val="1"/>
          <w:numId w:val="11"/>
        </w:numPr>
        <w:autoSpaceDE/>
        <w:autoSpaceDN/>
        <w:spacing w:before="120" w:after="12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4.2-ci bənddə qeyd olunan kartlar istisna olmaqla</w:t>
      </w:r>
      <w:r w:rsidRPr="007C69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Cəmiyyətin emissiya etdiyi </w:t>
      </w:r>
      <w:bookmarkStart w:id="0" w:name="_Hlk146275687"/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ödəniş kartı </w:t>
      </w:r>
      <w:bookmarkEnd w:id="0"/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vasitəsilə </w:t>
      </w:r>
      <w:r w:rsidR="00FA7D18">
        <w:rPr>
          <w:rFonts w:ascii="Arial" w:hAnsi="Arial" w:cs="Arial"/>
          <w:sz w:val="24"/>
          <w:szCs w:val="24"/>
          <w:lang w:val="az-Latn-AZ"/>
        </w:rPr>
        <w:t xml:space="preserve">digər 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>kart</w:t>
      </w:r>
      <w:r w:rsidR="00FA7D18">
        <w:rPr>
          <w:rFonts w:ascii="Arial" w:hAnsi="Arial" w:cs="Arial"/>
          <w:sz w:val="24"/>
          <w:szCs w:val="24"/>
          <w:lang w:val="az-Latn-AZ"/>
        </w:rPr>
        <w:t>ın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 hesabına </w:t>
      </w:r>
      <w:proofErr w:type="spellStart"/>
      <w:r w:rsidR="00EC6F17" w:rsidRPr="007C6921">
        <w:rPr>
          <w:rFonts w:ascii="Arial" w:hAnsi="Arial" w:cs="Arial"/>
          <w:sz w:val="24"/>
          <w:szCs w:val="24"/>
          <w:lang w:val="az-Latn-AZ"/>
        </w:rPr>
        <w:t>card</w:t>
      </w:r>
      <w:proofErr w:type="spellEnd"/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EC6F17" w:rsidRPr="007C6921">
        <w:rPr>
          <w:rFonts w:ascii="Arial" w:hAnsi="Arial" w:cs="Arial"/>
          <w:sz w:val="24"/>
          <w:szCs w:val="24"/>
          <w:lang w:val="az-Latn-AZ"/>
        </w:rPr>
        <w:t>to</w:t>
      </w:r>
      <w:proofErr w:type="spellEnd"/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EC6F17" w:rsidRPr="007C6921">
        <w:rPr>
          <w:rFonts w:ascii="Arial" w:hAnsi="Arial" w:cs="Arial"/>
          <w:sz w:val="24"/>
          <w:szCs w:val="24"/>
          <w:lang w:val="az-Latn-AZ"/>
        </w:rPr>
        <w:t>card</w:t>
      </w:r>
      <w:proofErr w:type="spellEnd"/>
      <w:r w:rsidR="00EC6F17" w:rsidRPr="007C6921">
        <w:rPr>
          <w:rFonts w:ascii="Arial" w:hAnsi="Arial" w:cs="Arial"/>
          <w:sz w:val="24"/>
          <w:szCs w:val="24"/>
          <w:lang w:val="az-Latn-AZ"/>
        </w:rPr>
        <w:t xml:space="preserve"> xidməti vasitəsilə köçürmə limiti gündəlik 1000AZN/</w:t>
      </w:r>
      <w:r w:rsidR="00330C85">
        <w:rPr>
          <w:rFonts w:ascii="Arial" w:hAnsi="Arial" w:cs="Arial"/>
          <w:sz w:val="24"/>
          <w:szCs w:val="24"/>
          <w:lang w:val="az-Latn-AZ"/>
        </w:rPr>
        <w:t>600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>USD/</w:t>
      </w:r>
      <w:r w:rsidR="00330C85">
        <w:rPr>
          <w:rFonts w:ascii="Arial" w:hAnsi="Arial" w:cs="Arial"/>
          <w:sz w:val="24"/>
          <w:szCs w:val="24"/>
          <w:lang w:val="az-Latn-AZ"/>
        </w:rPr>
        <w:t>500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>EUR, aylıq 10000AZN/</w:t>
      </w:r>
      <w:r w:rsidR="00330C85">
        <w:rPr>
          <w:rFonts w:ascii="Arial" w:hAnsi="Arial" w:cs="Arial"/>
          <w:sz w:val="24"/>
          <w:szCs w:val="24"/>
          <w:lang w:val="az-Latn-AZ"/>
        </w:rPr>
        <w:t>6000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>USD/</w:t>
      </w:r>
      <w:r w:rsidR="00330C85">
        <w:rPr>
          <w:rFonts w:ascii="Arial" w:hAnsi="Arial" w:cs="Arial"/>
          <w:sz w:val="24"/>
          <w:szCs w:val="24"/>
          <w:lang w:val="az-Latn-AZ"/>
        </w:rPr>
        <w:t>5000</w:t>
      </w:r>
      <w:r w:rsidR="00EC6F17" w:rsidRPr="007C6921">
        <w:rPr>
          <w:rFonts w:ascii="Arial" w:hAnsi="Arial" w:cs="Arial"/>
          <w:sz w:val="24"/>
          <w:szCs w:val="24"/>
          <w:lang w:val="az-Latn-AZ"/>
        </w:rPr>
        <w:t>EUR məbləğindədir.</w:t>
      </w:r>
    </w:p>
    <w:p w14:paraId="71A1A6DF" w14:textId="77777777" w:rsidR="00250207" w:rsidRDefault="00250207" w:rsidP="00FA7D18">
      <w:pPr>
        <w:widowControl/>
        <w:numPr>
          <w:ilvl w:val="1"/>
          <w:numId w:val="11"/>
        </w:numPr>
        <w:autoSpaceDE/>
        <w:autoSpaceDN/>
        <w:spacing w:before="120" w:after="120"/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Müştərinin müraciətinə əsasən karta müəyyən edilmiş limitlər qanunvericiliyin tələblərinə müvafiq olaraq dəyişdirilə bilər.</w:t>
      </w:r>
    </w:p>
    <w:p w14:paraId="618BA414" w14:textId="77777777" w:rsidR="0076515C" w:rsidRDefault="0076515C" w:rsidP="00FA7D18">
      <w:pPr>
        <w:widowControl/>
        <w:numPr>
          <w:ilvl w:val="1"/>
          <w:numId w:val="11"/>
        </w:numPr>
        <w:autoSpaceDE/>
        <w:autoSpaceDN/>
        <w:spacing w:before="120" w:after="120"/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Müştəri ilə bağlanmış kart hesabı müqaviləsində kart üzrə digər şərtlər müəyyən edilə bilər.</w:t>
      </w:r>
    </w:p>
    <w:p w14:paraId="56DCDE2B" w14:textId="77777777" w:rsidR="00250207" w:rsidRPr="007C6921" w:rsidRDefault="00250207" w:rsidP="00FA7D18">
      <w:pPr>
        <w:pStyle w:val="a5"/>
        <w:widowControl/>
        <w:autoSpaceDE/>
        <w:autoSpaceDN/>
        <w:ind w:left="709" w:firstLine="0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</w:p>
    <w:p w14:paraId="7243E984" w14:textId="77777777" w:rsidR="00B343CD" w:rsidRDefault="00B343CD" w:rsidP="00FA7D18">
      <w:pPr>
        <w:pStyle w:val="a3"/>
        <w:rPr>
          <w:sz w:val="20"/>
        </w:rPr>
      </w:pPr>
    </w:p>
    <w:p w14:paraId="32625B40" w14:textId="77777777" w:rsidR="00B343CD" w:rsidRDefault="00B343CD" w:rsidP="00FA7D18">
      <w:pPr>
        <w:pStyle w:val="a3"/>
        <w:spacing w:before="11"/>
        <w:rPr>
          <w:sz w:val="20"/>
        </w:rPr>
      </w:pPr>
    </w:p>
    <w:p w14:paraId="0253681E" w14:textId="77777777" w:rsidR="00B343CD" w:rsidRDefault="00B343CD" w:rsidP="00FA7D18">
      <w:pPr>
        <w:pStyle w:val="a5"/>
        <w:tabs>
          <w:tab w:val="left" w:pos="827"/>
        </w:tabs>
        <w:ind w:right="122" w:firstLine="0"/>
        <w:jc w:val="both"/>
        <w:rPr>
          <w:sz w:val="24"/>
        </w:rPr>
      </w:pPr>
    </w:p>
    <w:sectPr w:rsidR="00B343CD" w:rsidSect="006454A4">
      <w:pgSz w:w="11910" w:h="16840"/>
      <w:pgMar w:top="851" w:right="851" w:bottom="851" w:left="1134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6ED0"/>
    <w:multiLevelType w:val="hybridMultilevel"/>
    <w:tmpl w:val="C180F81C"/>
    <w:lvl w:ilvl="0" w:tplc="C3D0A4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380"/>
    <w:multiLevelType w:val="multilevel"/>
    <w:tmpl w:val="5D666F50"/>
    <w:lvl w:ilvl="0">
      <w:start w:val="1"/>
      <w:numFmt w:val="bullet"/>
      <w:lvlText w:val=""/>
      <w:lvlJc w:val="left"/>
      <w:pPr>
        <w:tabs>
          <w:tab w:val="num" w:pos="690"/>
        </w:tabs>
        <w:ind w:left="690" w:hanging="69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abstractNum w:abstractNumId="2" w15:restartNumberingAfterBreak="0">
    <w:nsid w:val="1850721B"/>
    <w:multiLevelType w:val="multilevel"/>
    <w:tmpl w:val="80F00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E4D23"/>
    <w:multiLevelType w:val="multilevel"/>
    <w:tmpl w:val="E264B7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AC7F01"/>
    <w:multiLevelType w:val="hybridMultilevel"/>
    <w:tmpl w:val="41467342"/>
    <w:lvl w:ilvl="0" w:tplc="DD5A5B0C">
      <w:numFmt w:val="bullet"/>
      <w:lvlText w:val="-"/>
      <w:lvlJc w:val="left"/>
      <w:pPr>
        <w:ind w:left="1140" w:hanging="36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592BB1"/>
    <w:multiLevelType w:val="hybridMultilevel"/>
    <w:tmpl w:val="9DAE97BE"/>
    <w:lvl w:ilvl="0" w:tplc="F82EC9AE">
      <w:start w:val="1"/>
      <w:numFmt w:val="decimal"/>
      <w:lvlText w:val="%1."/>
      <w:lvlJc w:val="left"/>
      <w:pPr>
        <w:ind w:left="4327" w:hanging="36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az" w:eastAsia="en-US" w:bidi="ar-SA"/>
      </w:rPr>
    </w:lvl>
    <w:lvl w:ilvl="1" w:tplc="307663B4">
      <w:numFmt w:val="bullet"/>
      <w:lvlText w:val="•"/>
      <w:lvlJc w:val="left"/>
      <w:pPr>
        <w:ind w:left="4988" w:hanging="361"/>
      </w:pPr>
      <w:rPr>
        <w:rFonts w:hint="default"/>
        <w:lang w:val="az" w:eastAsia="en-US" w:bidi="ar-SA"/>
      </w:rPr>
    </w:lvl>
    <w:lvl w:ilvl="2" w:tplc="5D34E90C">
      <w:numFmt w:val="bullet"/>
      <w:lvlText w:val="•"/>
      <w:lvlJc w:val="left"/>
      <w:pPr>
        <w:ind w:left="5656" w:hanging="361"/>
      </w:pPr>
      <w:rPr>
        <w:rFonts w:hint="default"/>
        <w:lang w:val="az" w:eastAsia="en-US" w:bidi="ar-SA"/>
      </w:rPr>
    </w:lvl>
    <w:lvl w:ilvl="3" w:tplc="25941D50">
      <w:numFmt w:val="bullet"/>
      <w:lvlText w:val="•"/>
      <w:lvlJc w:val="left"/>
      <w:pPr>
        <w:ind w:left="6325" w:hanging="361"/>
      </w:pPr>
      <w:rPr>
        <w:rFonts w:hint="default"/>
        <w:lang w:val="az" w:eastAsia="en-US" w:bidi="ar-SA"/>
      </w:rPr>
    </w:lvl>
    <w:lvl w:ilvl="4" w:tplc="FE9E99C2">
      <w:numFmt w:val="bullet"/>
      <w:lvlText w:val="•"/>
      <w:lvlJc w:val="left"/>
      <w:pPr>
        <w:ind w:left="6993" w:hanging="361"/>
      </w:pPr>
      <w:rPr>
        <w:rFonts w:hint="default"/>
        <w:lang w:val="az" w:eastAsia="en-US" w:bidi="ar-SA"/>
      </w:rPr>
    </w:lvl>
    <w:lvl w:ilvl="5" w:tplc="2258E59E">
      <w:numFmt w:val="bullet"/>
      <w:lvlText w:val="•"/>
      <w:lvlJc w:val="left"/>
      <w:pPr>
        <w:ind w:left="7662" w:hanging="361"/>
      </w:pPr>
      <w:rPr>
        <w:rFonts w:hint="default"/>
        <w:lang w:val="az" w:eastAsia="en-US" w:bidi="ar-SA"/>
      </w:rPr>
    </w:lvl>
    <w:lvl w:ilvl="6" w:tplc="78CC8E18">
      <w:numFmt w:val="bullet"/>
      <w:lvlText w:val="•"/>
      <w:lvlJc w:val="left"/>
      <w:pPr>
        <w:ind w:left="8330" w:hanging="361"/>
      </w:pPr>
      <w:rPr>
        <w:rFonts w:hint="default"/>
        <w:lang w:val="az" w:eastAsia="en-US" w:bidi="ar-SA"/>
      </w:rPr>
    </w:lvl>
    <w:lvl w:ilvl="7" w:tplc="9E968CF4">
      <w:numFmt w:val="bullet"/>
      <w:lvlText w:val="•"/>
      <w:lvlJc w:val="left"/>
      <w:pPr>
        <w:ind w:left="8998" w:hanging="361"/>
      </w:pPr>
      <w:rPr>
        <w:rFonts w:hint="default"/>
        <w:lang w:val="az" w:eastAsia="en-US" w:bidi="ar-SA"/>
      </w:rPr>
    </w:lvl>
    <w:lvl w:ilvl="8" w:tplc="CE263560">
      <w:numFmt w:val="bullet"/>
      <w:lvlText w:val="•"/>
      <w:lvlJc w:val="left"/>
      <w:pPr>
        <w:ind w:left="9667" w:hanging="361"/>
      </w:pPr>
      <w:rPr>
        <w:rFonts w:hint="default"/>
        <w:lang w:val="az" w:eastAsia="en-US" w:bidi="ar-SA"/>
      </w:rPr>
    </w:lvl>
  </w:abstractNum>
  <w:abstractNum w:abstractNumId="6" w15:restartNumberingAfterBreak="0">
    <w:nsid w:val="334471C8"/>
    <w:multiLevelType w:val="hybridMultilevel"/>
    <w:tmpl w:val="BCBE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46C8"/>
    <w:multiLevelType w:val="multilevel"/>
    <w:tmpl w:val="5EDC7B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12B5F17"/>
    <w:multiLevelType w:val="multilevel"/>
    <w:tmpl w:val="5E22C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4791AB6"/>
    <w:multiLevelType w:val="multilevel"/>
    <w:tmpl w:val="D7B26F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97AA9"/>
    <w:multiLevelType w:val="hybridMultilevel"/>
    <w:tmpl w:val="C560990C"/>
    <w:lvl w:ilvl="0" w:tplc="AC2EF9C6">
      <w:start w:val="2"/>
      <w:numFmt w:val="bullet"/>
      <w:lvlText w:val="-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4E40A5"/>
    <w:multiLevelType w:val="multilevel"/>
    <w:tmpl w:val="5EDC7B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13D4BDA"/>
    <w:multiLevelType w:val="multilevel"/>
    <w:tmpl w:val="9F5AE6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A764DD"/>
    <w:multiLevelType w:val="multilevel"/>
    <w:tmpl w:val="57582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950203"/>
    <w:multiLevelType w:val="multilevel"/>
    <w:tmpl w:val="BFDAC5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5D97333A"/>
    <w:multiLevelType w:val="hybridMultilevel"/>
    <w:tmpl w:val="04E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62145"/>
    <w:multiLevelType w:val="hybridMultilevel"/>
    <w:tmpl w:val="738E8042"/>
    <w:lvl w:ilvl="0" w:tplc="36B07E16">
      <w:numFmt w:val="bullet"/>
      <w:lvlText w:val="-"/>
      <w:lvlJc w:val="left"/>
      <w:pPr>
        <w:ind w:left="1140" w:hanging="36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CB24176"/>
    <w:multiLevelType w:val="hybridMultilevel"/>
    <w:tmpl w:val="00F8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F38"/>
    <w:multiLevelType w:val="hybridMultilevel"/>
    <w:tmpl w:val="2D44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7591"/>
    <w:multiLevelType w:val="hybridMultilevel"/>
    <w:tmpl w:val="FD6CB496"/>
    <w:lvl w:ilvl="0" w:tplc="6338B928">
      <w:numFmt w:val="bullet"/>
      <w:lvlText w:val="*"/>
      <w:lvlJc w:val="left"/>
      <w:pPr>
        <w:ind w:left="106" w:hanging="169"/>
      </w:pPr>
      <w:rPr>
        <w:rFonts w:ascii="Arial" w:eastAsia="Arial" w:hAnsi="Arial" w:cs="Arial" w:hint="default"/>
        <w:b/>
        <w:bCs/>
        <w:w w:val="99"/>
        <w:sz w:val="24"/>
        <w:szCs w:val="24"/>
        <w:lang w:val="az" w:eastAsia="en-US" w:bidi="ar-SA"/>
      </w:rPr>
    </w:lvl>
    <w:lvl w:ilvl="1" w:tplc="CD8E7D62">
      <w:numFmt w:val="bullet"/>
      <w:lvlText w:val=""/>
      <w:lvlJc w:val="left"/>
      <w:pPr>
        <w:ind w:left="826" w:hanging="428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2" w:tplc="901E356A">
      <w:numFmt w:val="bullet"/>
      <w:lvlText w:val="•"/>
      <w:lvlJc w:val="left"/>
      <w:pPr>
        <w:ind w:left="1951" w:hanging="428"/>
      </w:pPr>
      <w:rPr>
        <w:rFonts w:hint="default"/>
        <w:lang w:val="az" w:eastAsia="en-US" w:bidi="ar-SA"/>
      </w:rPr>
    </w:lvl>
    <w:lvl w:ilvl="3" w:tplc="6DEEDC58">
      <w:numFmt w:val="bullet"/>
      <w:lvlText w:val="•"/>
      <w:lvlJc w:val="left"/>
      <w:pPr>
        <w:ind w:left="3083" w:hanging="428"/>
      </w:pPr>
      <w:rPr>
        <w:rFonts w:hint="default"/>
        <w:lang w:val="az" w:eastAsia="en-US" w:bidi="ar-SA"/>
      </w:rPr>
    </w:lvl>
    <w:lvl w:ilvl="4" w:tplc="B7DADFBC">
      <w:numFmt w:val="bullet"/>
      <w:lvlText w:val="•"/>
      <w:lvlJc w:val="left"/>
      <w:pPr>
        <w:ind w:left="4214" w:hanging="428"/>
      </w:pPr>
      <w:rPr>
        <w:rFonts w:hint="default"/>
        <w:lang w:val="az" w:eastAsia="en-US" w:bidi="ar-SA"/>
      </w:rPr>
    </w:lvl>
    <w:lvl w:ilvl="5" w:tplc="CFFA585E">
      <w:numFmt w:val="bullet"/>
      <w:lvlText w:val="•"/>
      <w:lvlJc w:val="left"/>
      <w:pPr>
        <w:ind w:left="5346" w:hanging="428"/>
      </w:pPr>
      <w:rPr>
        <w:rFonts w:hint="default"/>
        <w:lang w:val="az" w:eastAsia="en-US" w:bidi="ar-SA"/>
      </w:rPr>
    </w:lvl>
    <w:lvl w:ilvl="6" w:tplc="91062690">
      <w:numFmt w:val="bullet"/>
      <w:lvlText w:val="•"/>
      <w:lvlJc w:val="left"/>
      <w:pPr>
        <w:ind w:left="6477" w:hanging="428"/>
      </w:pPr>
      <w:rPr>
        <w:rFonts w:hint="default"/>
        <w:lang w:val="az" w:eastAsia="en-US" w:bidi="ar-SA"/>
      </w:rPr>
    </w:lvl>
    <w:lvl w:ilvl="7" w:tplc="D4823222">
      <w:numFmt w:val="bullet"/>
      <w:lvlText w:val="•"/>
      <w:lvlJc w:val="left"/>
      <w:pPr>
        <w:ind w:left="7609" w:hanging="428"/>
      </w:pPr>
      <w:rPr>
        <w:rFonts w:hint="default"/>
        <w:lang w:val="az" w:eastAsia="en-US" w:bidi="ar-SA"/>
      </w:rPr>
    </w:lvl>
    <w:lvl w:ilvl="8" w:tplc="B7B0573E">
      <w:numFmt w:val="bullet"/>
      <w:lvlText w:val="•"/>
      <w:lvlJc w:val="left"/>
      <w:pPr>
        <w:ind w:left="8740" w:hanging="428"/>
      </w:pPr>
      <w:rPr>
        <w:rFonts w:hint="default"/>
        <w:lang w:val="az" w:eastAsia="en-US" w:bidi="ar-SA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18"/>
  </w:num>
  <w:num w:numId="8">
    <w:abstractNumId w:val="17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CD"/>
    <w:rsid w:val="000654C7"/>
    <w:rsid w:val="000A6C11"/>
    <w:rsid w:val="00133F3C"/>
    <w:rsid w:val="00137FA4"/>
    <w:rsid w:val="001E75BD"/>
    <w:rsid w:val="002168B6"/>
    <w:rsid w:val="00250207"/>
    <w:rsid w:val="00293087"/>
    <w:rsid w:val="00330C85"/>
    <w:rsid w:val="003D1800"/>
    <w:rsid w:val="0045370A"/>
    <w:rsid w:val="0046691B"/>
    <w:rsid w:val="005A2EC5"/>
    <w:rsid w:val="0062675C"/>
    <w:rsid w:val="006454A4"/>
    <w:rsid w:val="006F3250"/>
    <w:rsid w:val="007044FB"/>
    <w:rsid w:val="00750D4D"/>
    <w:rsid w:val="0076515C"/>
    <w:rsid w:val="007C6921"/>
    <w:rsid w:val="00822F84"/>
    <w:rsid w:val="00845FBE"/>
    <w:rsid w:val="009079D4"/>
    <w:rsid w:val="009167B8"/>
    <w:rsid w:val="009A005B"/>
    <w:rsid w:val="00A51A87"/>
    <w:rsid w:val="00AD05C7"/>
    <w:rsid w:val="00B343CD"/>
    <w:rsid w:val="00B6713A"/>
    <w:rsid w:val="00B92E4E"/>
    <w:rsid w:val="00BB3CE4"/>
    <w:rsid w:val="00C9065F"/>
    <w:rsid w:val="00D13EC0"/>
    <w:rsid w:val="00D4327C"/>
    <w:rsid w:val="00D75240"/>
    <w:rsid w:val="00E16D12"/>
    <w:rsid w:val="00E31EA3"/>
    <w:rsid w:val="00E5418E"/>
    <w:rsid w:val="00E95A97"/>
    <w:rsid w:val="00EC6F17"/>
    <w:rsid w:val="00EF3D29"/>
    <w:rsid w:val="00F76F1C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E143"/>
  <w15:docId w15:val="{E7A730E5-37D8-4418-A6E1-B2C6A22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9"/>
    <w:qFormat/>
    <w:pPr>
      <w:spacing w:before="92"/>
      <w:ind w:left="1335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74" w:right="18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826" w:right="116" w:hanging="360"/>
    </w:pPr>
  </w:style>
  <w:style w:type="paragraph" w:customStyle="1" w:styleId="TableParagraph">
    <w:name w:val="Table Paragraph"/>
    <w:basedOn w:val="a"/>
    <w:uiPriority w:val="1"/>
    <w:qFormat/>
    <w:pPr>
      <w:spacing w:before="13" w:line="268" w:lineRule="exact"/>
      <w:ind w:right="88"/>
      <w:jc w:val="right"/>
    </w:pPr>
  </w:style>
  <w:style w:type="character" w:styleId="a7">
    <w:name w:val="Hyperlink"/>
    <w:basedOn w:val="a0"/>
    <w:uiPriority w:val="99"/>
    <w:rsid w:val="00EC6F17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C6F17"/>
    <w:pPr>
      <w:widowControl/>
      <w:tabs>
        <w:tab w:val="center" w:pos="4677"/>
        <w:tab w:val="right" w:pos="9355"/>
      </w:tabs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C6F17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51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515C"/>
    <w:rPr>
      <w:rFonts w:ascii="Segoe UI" w:eastAsia="Microsoft Sans Serif" w:hAnsi="Segoe UI" w:cs="Segoe UI"/>
      <w:sz w:val="18"/>
      <w:szCs w:val="18"/>
      <w:lang w:val="az"/>
    </w:rPr>
  </w:style>
  <w:style w:type="character" w:styleId="ac">
    <w:name w:val="annotation reference"/>
    <w:basedOn w:val="a0"/>
    <w:uiPriority w:val="99"/>
    <w:semiHidden/>
    <w:unhideWhenUsed/>
    <w:rsid w:val="00E95A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5A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5A97"/>
    <w:rPr>
      <w:rFonts w:ascii="Microsoft Sans Serif" w:eastAsia="Microsoft Sans Serif" w:hAnsi="Microsoft Sans Serif" w:cs="Microsoft Sans Serif"/>
      <w:sz w:val="20"/>
      <w:szCs w:val="20"/>
      <w:lang w:val="az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A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A97"/>
    <w:rPr>
      <w:rFonts w:ascii="Microsoft Sans Serif" w:eastAsia="Microsoft Sans Serif" w:hAnsi="Microsoft Sans Serif" w:cs="Microsoft Sans Serif"/>
      <w:b/>
      <w:bCs/>
      <w:sz w:val="20"/>
      <w:szCs w:val="20"/>
      <w:lang w:val="az"/>
    </w:rPr>
  </w:style>
  <w:style w:type="character" w:customStyle="1" w:styleId="a6">
    <w:name w:val="Абзац списка Знак"/>
    <w:link w:val="a5"/>
    <w:uiPriority w:val="34"/>
    <w:locked/>
    <w:rsid w:val="006454A4"/>
    <w:rPr>
      <w:rFonts w:ascii="Microsoft Sans Serif" w:eastAsia="Microsoft Sans Serif" w:hAnsi="Microsoft Sans Serif" w:cs="Microsoft Sans Serif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3186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e.nuraliyev</dc:creator>
  <cp:lastModifiedBy>Ilkin Abdullayev</cp:lastModifiedBy>
  <cp:revision>3</cp:revision>
  <dcterms:created xsi:type="dcterms:W3CDTF">2023-09-25T08:52:00Z</dcterms:created>
  <dcterms:modified xsi:type="dcterms:W3CDTF">2023-09-27T10:35:00Z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